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 xml:space="preserve">León, Guanajuato, a 13 trece de abril del año 2018 dos mil dieciocho. </w:t>
      </w:r>
    </w:p>
    <w:p w:rsidR="00165C3A" w:rsidRPr="00165C3A" w:rsidRDefault="00165C3A" w:rsidP="00165C3A">
      <w:pPr>
        <w:spacing w:after="0" w:line="360" w:lineRule="auto"/>
        <w:ind w:firstLine="709"/>
        <w:jc w:val="center"/>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b/>
          <w:sz w:val="24"/>
          <w:szCs w:val="24"/>
          <w:lang w:val="es-ES" w:eastAsia="es-ES"/>
        </w:rPr>
        <w:t>V I S T O</w:t>
      </w:r>
      <w:r w:rsidRPr="00165C3A">
        <w:rPr>
          <w:rFonts w:ascii="Century" w:eastAsia="Calibri" w:hAnsi="Century" w:cs="Times New Roman"/>
          <w:sz w:val="24"/>
          <w:szCs w:val="24"/>
          <w:lang w:val="es-ES" w:eastAsia="es-ES"/>
        </w:rPr>
        <w:t xml:space="preserve"> para resolver el expediente número </w:t>
      </w:r>
      <w:r w:rsidRPr="00165C3A">
        <w:rPr>
          <w:rFonts w:ascii="Century" w:eastAsia="Calibri" w:hAnsi="Century" w:cs="Times New Roman"/>
          <w:b/>
          <w:sz w:val="24"/>
          <w:szCs w:val="24"/>
          <w:lang w:val="es-ES" w:eastAsia="es-ES"/>
        </w:rPr>
        <w:t>0782/2015-JN</w:t>
      </w:r>
      <w:r w:rsidRPr="00165C3A">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4E4C92">
        <w:rPr>
          <w:rFonts w:ascii="Century" w:eastAsia="Calibri" w:hAnsi="Century" w:cs="Times New Roman"/>
          <w:b/>
          <w:sz w:val="24"/>
          <w:szCs w:val="24"/>
          <w:lang w:val="es-ES" w:eastAsia="es-ES"/>
        </w:rPr>
        <w:t>(.....)</w:t>
      </w:r>
      <w:r w:rsidRPr="00165C3A">
        <w:rPr>
          <w:rFonts w:ascii="Century" w:eastAsia="Calibri" w:hAnsi="Century" w:cs="Times New Roman"/>
          <w:b/>
          <w:sz w:val="24"/>
          <w:szCs w:val="24"/>
          <w:lang w:val="es-ES" w:eastAsia="es-ES"/>
        </w:rPr>
        <w:t>;</w:t>
      </w:r>
      <w:r w:rsidRPr="00165C3A">
        <w:rPr>
          <w:rFonts w:ascii="Century" w:eastAsia="Calibri" w:hAnsi="Century" w:cs="Times New Roman"/>
          <w:sz w:val="24"/>
          <w:szCs w:val="24"/>
          <w:lang w:val="es-ES" w:eastAsia="es-ES"/>
        </w:rPr>
        <w:t xml:space="preserve"> y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8"/>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8"/>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8"/>
        <w:jc w:val="center"/>
        <w:rPr>
          <w:rFonts w:ascii="Century" w:eastAsia="Calibri" w:hAnsi="Century" w:cs="Calibri"/>
          <w:b/>
          <w:bCs/>
          <w:iCs/>
          <w:sz w:val="24"/>
          <w:szCs w:val="24"/>
          <w:lang w:eastAsia="es-ES"/>
        </w:rPr>
      </w:pPr>
      <w:r w:rsidRPr="00165C3A">
        <w:rPr>
          <w:rFonts w:ascii="Century" w:eastAsia="Calibri" w:hAnsi="Century" w:cs="Calibri"/>
          <w:b/>
          <w:bCs/>
          <w:iCs/>
          <w:sz w:val="24"/>
          <w:szCs w:val="24"/>
          <w:lang w:eastAsia="es-ES"/>
        </w:rPr>
        <w:t>C O N S I D E R A N D O :</w:t>
      </w:r>
    </w:p>
    <w:p w:rsidR="00165C3A" w:rsidRPr="00165C3A" w:rsidRDefault="00165C3A" w:rsidP="00165C3A">
      <w:pPr>
        <w:spacing w:after="0" w:line="360" w:lineRule="auto"/>
        <w:ind w:firstLine="708"/>
        <w:jc w:val="center"/>
        <w:rPr>
          <w:rFonts w:ascii="Century" w:eastAsia="Calibri" w:hAnsi="Century" w:cs="Calibri"/>
          <w:b/>
          <w:bCs/>
          <w:iCs/>
          <w:sz w:val="24"/>
          <w:szCs w:val="24"/>
          <w:lang w:eastAsia="es-ES"/>
        </w:rPr>
      </w:pPr>
    </w:p>
    <w:p w:rsidR="00165C3A" w:rsidRPr="00165C3A" w:rsidRDefault="00165C3A" w:rsidP="00165C3A">
      <w:pPr>
        <w:spacing w:after="0" w:line="360" w:lineRule="auto"/>
        <w:ind w:firstLine="709"/>
        <w:jc w:val="both"/>
        <w:rPr>
          <w:rFonts w:ascii="Century" w:eastAsia="Calibri" w:hAnsi="Century" w:cs="Calibri"/>
          <w:b/>
          <w:bCs/>
          <w:sz w:val="24"/>
          <w:szCs w:val="24"/>
          <w:lang w:val="es-ES" w:eastAsia="es-ES"/>
        </w:rPr>
      </w:pPr>
      <w:bookmarkStart w:id="0" w:name="_GoBack"/>
      <w:bookmarkEnd w:id="0"/>
    </w:p>
    <w:p w:rsidR="00165C3A" w:rsidRPr="00165C3A" w:rsidRDefault="00165C3A" w:rsidP="00165C3A">
      <w:pPr>
        <w:spacing w:after="0" w:line="360" w:lineRule="auto"/>
        <w:ind w:firstLine="708"/>
        <w:jc w:val="both"/>
        <w:rPr>
          <w:rFonts w:ascii="Century" w:eastAsia="Calibri" w:hAnsi="Century" w:cs="Calibri"/>
          <w:sz w:val="24"/>
          <w:szCs w:val="24"/>
          <w:lang w:eastAsia="es-ES"/>
        </w:rPr>
      </w:pPr>
      <w:r w:rsidRPr="00165C3A">
        <w:rPr>
          <w:rFonts w:ascii="Century" w:eastAsia="Calibri" w:hAnsi="Century" w:cs="Times New Roman"/>
          <w:b/>
          <w:sz w:val="24"/>
          <w:szCs w:val="24"/>
          <w:lang w:eastAsia="es-ES"/>
        </w:rPr>
        <w:t xml:space="preserve">SEGUNDO. </w:t>
      </w:r>
      <w:r w:rsidRPr="00165C3A">
        <w:rPr>
          <w:rFonts w:ascii="Century" w:eastAsia="Calibri" w:hAnsi="Century" w:cs="Times New Roman"/>
          <w:sz w:val="24"/>
          <w:szCs w:val="24"/>
          <w:lang w:eastAsia="es-ES"/>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lo que fue el día 20 veinte de septiembre del año 2015 dos mil quince y la demanda fue presentada el 02 dos de octubre del mismo año. -</w:t>
      </w:r>
    </w:p>
    <w:p w:rsidR="00165C3A" w:rsidRPr="00165C3A" w:rsidRDefault="00165C3A" w:rsidP="00165C3A">
      <w:pPr>
        <w:spacing w:after="0" w:line="360" w:lineRule="auto"/>
        <w:ind w:firstLine="708"/>
        <w:jc w:val="both"/>
        <w:rPr>
          <w:rFonts w:ascii="Century" w:eastAsia="Calibri" w:hAnsi="Century" w:cs="Calibri"/>
          <w:b/>
          <w:bCs/>
          <w:sz w:val="24"/>
          <w:szCs w:val="24"/>
          <w:lang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b/>
          <w:sz w:val="24"/>
          <w:szCs w:val="24"/>
          <w:lang w:val="es-ES" w:eastAsia="es-ES"/>
        </w:rPr>
        <w:t>TERCERO.</w:t>
      </w:r>
      <w:r w:rsidRPr="00165C3A">
        <w:rPr>
          <w:rFonts w:ascii="Century" w:eastAsia="Calibri" w:hAnsi="Century" w:cs="Times New Roman"/>
          <w:sz w:val="24"/>
          <w:szCs w:val="24"/>
          <w:lang w:val="es-ES" w:eastAsia="es-ES"/>
        </w:rPr>
        <w:t xml:space="preserve"> En cuanto a la existencia del acto impugnado, el actor adjunta los siguientes documentos: Respecto al predio con cuenta predial número </w:t>
      </w:r>
      <w:r w:rsidRPr="00165C3A">
        <w:rPr>
          <w:rFonts w:ascii="Century" w:eastAsia="Calibri" w:hAnsi="Century" w:cs="Times New Roman"/>
          <w:b/>
          <w:sz w:val="24"/>
          <w:szCs w:val="24"/>
          <w:lang w:val="es-ES" w:eastAsia="es-ES"/>
        </w:rPr>
        <w:t xml:space="preserve">O2V022178002 </w:t>
      </w:r>
      <w:r w:rsidRPr="00165C3A">
        <w:rPr>
          <w:rFonts w:ascii="Century" w:eastAsia="Calibri" w:hAnsi="Century" w:cs="Times New Roman"/>
          <w:sz w:val="24"/>
          <w:szCs w:val="24"/>
          <w:lang w:val="es-ES" w:eastAsia="es-ES"/>
        </w:rPr>
        <w:t xml:space="preserve">(cero dos letra V cero dos dos uno siete ocho cero cero dos), adjunta avalúo folio 337402 (tres tres siete cuatro cero dos), de fecha 26 veintiséis de mayo de 2015 dos mil quince y notificación de fecha 28 veintiocho de mayo del año 2015 dos mil quince, folio 1132271 (uno uno tres dos dos siete uno); de la cuenta predial número </w:t>
      </w:r>
      <w:r w:rsidRPr="00165C3A">
        <w:rPr>
          <w:rFonts w:ascii="Century" w:eastAsia="Calibri" w:hAnsi="Century" w:cs="Times New Roman"/>
          <w:b/>
          <w:sz w:val="24"/>
          <w:szCs w:val="24"/>
          <w:lang w:val="es-ES" w:eastAsia="es-ES"/>
        </w:rPr>
        <w:t>02V022178003</w:t>
      </w:r>
      <w:r w:rsidRPr="00165C3A">
        <w:rPr>
          <w:rFonts w:ascii="Century" w:eastAsia="Calibri" w:hAnsi="Century" w:cs="Times New Roman"/>
          <w:sz w:val="24"/>
          <w:szCs w:val="24"/>
          <w:lang w:val="es-ES" w:eastAsia="es-ES"/>
        </w:rPr>
        <w:t xml:space="preserve"> (cero dos letra V cero dos dos uno siete ocho cero cero tres), adjunta avalúo folio 337403 (tres tres siete cuatro cero tres), de fecha 26 veintiséis de mayo del año 2015 dos mil quince y notificación folio 1132267 (uno uno tres dos dos seis siete), de fecha 28 veintiocho de mayo del año 2015 dos mil quince; y de la número </w:t>
      </w:r>
      <w:r w:rsidRPr="00165C3A">
        <w:rPr>
          <w:rFonts w:ascii="Century" w:eastAsia="Calibri" w:hAnsi="Century" w:cs="Times New Roman"/>
          <w:b/>
          <w:sz w:val="24"/>
          <w:szCs w:val="24"/>
          <w:lang w:val="es-ES" w:eastAsia="es-ES"/>
        </w:rPr>
        <w:t>02V022178004</w:t>
      </w:r>
      <w:r w:rsidRPr="00165C3A">
        <w:rPr>
          <w:rFonts w:ascii="Century" w:eastAsia="Calibri" w:hAnsi="Century" w:cs="Times New Roman"/>
          <w:sz w:val="24"/>
          <w:szCs w:val="24"/>
          <w:lang w:val="es-ES" w:eastAsia="es-ES"/>
        </w:rPr>
        <w:t xml:space="preserve"> (cero dos letra V cero dos dos uno siete ocho cero cero cuatro), adjunta avalúo </w:t>
      </w:r>
      <w:r w:rsidRPr="00165C3A">
        <w:rPr>
          <w:rFonts w:ascii="Century" w:eastAsia="Calibri" w:hAnsi="Century" w:cs="Times New Roman"/>
          <w:sz w:val="24"/>
          <w:szCs w:val="24"/>
          <w:lang w:val="es-ES" w:eastAsia="es-ES"/>
        </w:rPr>
        <w:lastRenderedPageBreak/>
        <w:t>folio 337404 (tres tres siete cuatro cero cuatros), de fecha 26 veintiséis de mayo del año 2015 dos mil quince y notificación folio 1132262 (uno uno tres dos dos seis dos) de fecha 28 veintiocho de mayo del año 2015 dos mil quince.------------</w:t>
      </w:r>
    </w:p>
    <w:p w:rsidR="00165C3A" w:rsidRPr="00165C3A" w:rsidRDefault="00165C3A" w:rsidP="00165C3A">
      <w:pPr>
        <w:spacing w:after="0" w:line="360" w:lineRule="auto"/>
        <w:ind w:left="142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8"/>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Documentos anteriores que merecen valor probatorio pleno de conformidad a lo señalado por los artículos 78, 117 y 121 del Código de Procedimiento y Justicia Administrativa para el Estado y los Municipios de Guanajuato, al ser expedidos por un servidor público en ejercicio de sus funciones aunado al reconocimiento que hace la autoridad demandada sobre su existencia y emisión, por lo tanto, la anterior manifestación constituye una confesión expresa conforme a la interpretación gramatical y funcional que se hace del primer párrafo del artículo 57 del Código de Procedimiento y Justicia Administrativa en vigor en el Estado. -------------------------------------------------------</w:t>
      </w:r>
    </w:p>
    <w:p w:rsidR="00165C3A" w:rsidRPr="00165C3A" w:rsidRDefault="00165C3A" w:rsidP="00165C3A">
      <w:pPr>
        <w:spacing w:after="0" w:line="360" w:lineRule="auto"/>
        <w:ind w:firstLine="708"/>
        <w:jc w:val="both"/>
        <w:rPr>
          <w:rFonts w:ascii="Century" w:eastAsia="Calibri" w:hAnsi="Century" w:cs="Calibri"/>
          <w:sz w:val="24"/>
          <w:szCs w:val="24"/>
          <w:lang w:val="es-ES" w:eastAsia="es-ES"/>
        </w:rPr>
      </w:pPr>
    </w:p>
    <w:p w:rsidR="00165C3A" w:rsidRPr="00165C3A" w:rsidRDefault="00165C3A" w:rsidP="00165C3A">
      <w:pPr>
        <w:spacing w:after="0" w:line="360" w:lineRule="auto"/>
        <w:ind w:firstLine="708"/>
        <w:jc w:val="both"/>
        <w:rPr>
          <w:rFonts w:ascii="Century" w:eastAsia="Calibri" w:hAnsi="Century" w:cs="Calibri"/>
          <w:b/>
          <w:bCs/>
          <w:iCs/>
          <w:sz w:val="24"/>
          <w:szCs w:val="24"/>
          <w:lang w:val="es-ES" w:eastAsia="es-ES"/>
        </w:rPr>
      </w:pPr>
      <w:r w:rsidRPr="00165C3A">
        <w:rPr>
          <w:rFonts w:ascii="Century" w:eastAsia="Calibri" w:hAnsi="Century" w:cs="Times New Roman"/>
          <w:sz w:val="24"/>
          <w:szCs w:val="24"/>
          <w:lang w:val="es-ES" w:eastAsia="es-ES"/>
        </w:rPr>
        <w:t xml:space="preserve">En razón de lo anterior, se tiene por </w:t>
      </w:r>
      <w:r w:rsidRPr="00165C3A">
        <w:rPr>
          <w:rFonts w:ascii="Century" w:eastAsia="Calibri" w:hAnsi="Century" w:cs="Times New Roman"/>
          <w:b/>
          <w:sz w:val="24"/>
          <w:szCs w:val="24"/>
          <w:lang w:val="es-ES" w:eastAsia="es-ES"/>
        </w:rPr>
        <w:t>debidamente acreditada</w:t>
      </w:r>
      <w:r w:rsidRPr="00165C3A">
        <w:rPr>
          <w:rFonts w:ascii="Century" w:eastAsia="Calibri" w:hAnsi="Century" w:cs="Times New Roman"/>
          <w:sz w:val="24"/>
          <w:szCs w:val="24"/>
          <w:lang w:val="es-ES" w:eastAsia="es-ES"/>
        </w:rPr>
        <w:t xml:space="preserve"> la existencia de los actos impugnados. ----------------------------------------------------------</w:t>
      </w:r>
    </w:p>
    <w:p w:rsidR="00165C3A" w:rsidRPr="00165C3A" w:rsidRDefault="00165C3A" w:rsidP="00165C3A">
      <w:pPr>
        <w:spacing w:after="0" w:line="360" w:lineRule="auto"/>
        <w:ind w:firstLine="708"/>
        <w:jc w:val="both"/>
        <w:rPr>
          <w:rFonts w:ascii="Century" w:eastAsia="Calibri" w:hAnsi="Century" w:cs="Calibri"/>
          <w:b/>
          <w:bCs/>
          <w:iCs/>
          <w:sz w:val="24"/>
          <w:szCs w:val="24"/>
          <w:lang w:val="es-ES" w:eastAsia="es-ES"/>
        </w:rPr>
      </w:pPr>
    </w:p>
    <w:p w:rsidR="00165C3A" w:rsidRPr="00165C3A" w:rsidRDefault="00165C3A" w:rsidP="00165C3A">
      <w:pPr>
        <w:spacing w:after="0" w:line="360" w:lineRule="auto"/>
        <w:ind w:firstLine="708"/>
        <w:jc w:val="both"/>
        <w:rPr>
          <w:rFonts w:ascii="Century" w:eastAsia="Calibri" w:hAnsi="Century" w:cs="Calibri"/>
          <w:b/>
          <w:bCs/>
          <w:iCs/>
          <w:sz w:val="24"/>
          <w:szCs w:val="24"/>
          <w:lang w:val="es-ES" w:eastAsia="es-ES"/>
        </w:rPr>
      </w:pPr>
      <w:r w:rsidRPr="00165C3A">
        <w:rPr>
          <w:rFonts w:ascii="Century" w:eastAsia="Calibri" w:hAnsi="Century" w:cs="Calibri"/>
          <w:b/>
          <w:bCs/>
          <w:iCs/>
          <w:sz w:val="24"/>
          <w:szCs w:val="24"/>
          <w:lang w:val="es-ES" w:eastAsia="es-ES"/>
        </w:rPr>
        <w:t xml:space="preserve">CUARTO. </w:t>
      </w:r>
      <w:r w:rsidRPr="00165C3A">
        <w:rPr>
          <w:rFonts w:ascii="Century" w:eastAsia="Calibri" w:hAnsi="Century" w:cs="Calibri"/>
          <w:bCs/>
          <w:iCs/>
          <w:sz w:val="24"/>
          <w:szCs w:val="24"/>
          <w:lang w:val="es-ES" w:eastAsia="es-E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65C3A">
        <w:rPr>
          <w:rFonts w:ascii="Century" w:eastAsia="Calibri" w:hAnsi="Century" w:cs="Calibri"/>
          <w:sz w:val="24"/>
          <w:szCs w:val="24"/>
          <w:lang w:val="es-ES" w:eastAsia="es-ES"/>
        </w:rPr>
        <w:t>. ----------------</w:t>
      </w:r>
      <w:r w:rsidRPr="00165C3A">
        <w:rPr>
          <w:rFonts w:ascii="Century" w:eastAsia="Calibri" w:hAnsi="Century" w:cs="Calibri"/>
          <w:b/>
          <w:bCs/>
          <w:iCs/>
          <w:sz w:val="24"/>
          <w:szCs w:val="24"/>
          <w:lang w:val="es-ES" w:eastAsia="es-ES"/>
        </w:rPr>
        <w:t>---------------------------------------------------------</w:t>
      </w:r>
    </w:p>
    <w:p w:rsidR="00165C3A" w:rsidRPr="00165C3A" w:rsidRDefault="00165C3A" w:rsidP="00165C3A">
      <w:pPr>
        <w:spacing w:after="0" w:line="360" w:lineRule="auto"/>
        <w:ind w:firstLine="708"/>
        <w:jc w:val="both"/>
        <w:rPr>
          <w:rFonts w:ascii="Century" w:eastAsia="Calibri" w:hAnsi="Century" w:cs="Calibri"/>
          <w:b/>
          <w:bCs/>
          <w:iCs/>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En tal contexto, se aprecia que la autoridad demandada en su contestación a la demanda señala que se actualiza la causal de improcedencia prevista en la fracción I del artículo 261 del Código de Procedimiento y Justicia Administrativa para el Estado y los Municipio de Guanajuato, ya que refiere que no se afecta el interés jurídico del actor porque éste no formula conceptos de impugnación.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lastRenderedPageBreak/>
        <w:t>Causal de improcedencia que para quien resuelve NO SE ACTUALIZA, por una parte, los actos impugnados al ir dirigidos al justiciable, le otorgan interés jurídico para intentar la demanda que nos ocupa, y por otro, contrario a lo que señala la parte demandada, tanto del escrito de demanda, así como de la ampliación a la misma, se desprenden manifestaciones en contra de los actos impugnados, mismos que deben ser analizados por quien resuelve, es decir, de lo expuesto por el actor, sí se desprenden conceptos de impugnación.-------------</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8"/>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 xml:space="preserve">Cabe señalar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más sin embargo, la autoridad demanda dentro del presente proceso, en su contestación refiere un capítulo de </w:t>
      </w:r>
      <w:r w:rsidRPr="00165C3A">
        <w:rPr>
          <w:rFonts w:ascii="Century" w:eastAsia="Calibri" w:hAnsi="Century" w:cs="Times New Roman"/>
          <w:i/>
          <w:sz w:val="24"/>
          <w:szCs w:val="24"/>
          <w:lang w:val="es-ES" w:eastAsia="es-ES"/>
        </w:rPr>
        <w:t>“Excepciones y Defensas”</w:t>
      </w:r>
      <w:r w:rsidRPr="00165C3A">
        <w:rPr>
          <w:rFonts w:ascii="Century" w:eastAsia="Calibri" w:hAnsi="Century" w:cs="Times New Roman"/>
          <w:sz w:val="24"/>
          <w:szCs w:val="24"/>
          <w:lang w:val="es-ES" w:eastAsia="es-ES"/>
        </w:rPr>
        <w:t>, por lo tanto y a fin de no incurrir en violaciones procesales, se realizan las siguientes consideraciones respecto de dichas excepciones y defensas.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 xml:space="preserve">En tal sentido, se aprecia que la autoridad demandada, opone la excepción de falta de acción y carencia de derecho del demandante, con esta excepción la autoridad demandada busca que el actor acredite los hechos de su demanda en forma diversa a la confesión implícita que el demandado hiciera de los mismos mediante la aceptación correspondiente, en tal sentido, traducido al derecho administrativo, se interpreta que las autoridades hacen referencia a la carencia o falta de interés jurídico para demandar o inexistencia del acto, no obstante ello, la autoridad demandada omite expresar los argumentos con los cuales sustenta su manifestación, por lo que en la especie se determina que la parte actora si cuenta con interés jurídico para impugnar los actos emitidos por el Tesorero Municipal, ya que van dirigidos al justiciable, y por otro, a través de ellos se le notifican los resultados de un avalúo fiscal y se le da a conocer la determinación del crédito fiscal, por lo tanto, en razón de </w:t>
      </w:r>
      <w:r w:rsidRPr="00165C3A">
        <w:rPr>
          <w:rFonts w:ascii="Century" w:eastAsia="Calibri" w:hAnsi="Century" w:cs="Times New Roman"/>
          <w:sz w:val="24"/>
          <w:szCs w:val="24"/>
          <w:lang w:val="es-ES" w:eastAsia="es-ES"/>
        </w:rPr>
        <w:lastRenderedPageBreak/>
        <w:t>lo expuesto es que el actor cuenta con interés jurídico para intentar la presente demanda, además de que la existencia de los actos impugnados quedó debidamente acreditado, con base en el Considerando que antecede.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Calibri"/>
          <w:i/>
          <w:sz w:val="24"/>
          <w:szCs w:val="24"/>
          <w:lang w:val="es-ES" w:eastAsia="es-ES"/>
        </w:rPr>
      </w:pPr>
      <w:r w:rsidRPr="00165C3A">
        <w:rPr>
          <w:rFonts w:ascii="Century" w:eastAsia="Calibri" w:hAnsi="Century" w:cs="Calibri"/>
          <w:sz w:val="24"/>
          <w:szCs w:val="24"/>
          <w:lang w:val="es-ES" w:eastAsia="es-ES"/>
        </w:rPr>
        <w:t xml:space="preserve">De igual manera opone la excepción </w:t>
      </w:r>
      <w:r w:rsidRPr="00165C3A">
        <w:rPr>
          <w:rFonts w:ascii="Century" w:eastAsia="Calibri" w:hAnsi="Century" w:cs="Calibri"/>
          <w:i/>
          <w:sz w:val="24"/>
          <w:szCs w:val="24"/>
          <w:lang w:val="es-ES" w:eastAsia="es-ES"/>
        </w:rPr>
        <w:t>“derivada de los artículos 136, concatenada con el artículo 137 del Código de Procedimiento y Justicia Administrativa para el Estado y los Municipios de Guanajuato, pues fue emitido por autoridad competente, derivado claramente de la lectura propia del mismo artículo…”</w:t>
      </w:r>
    </w:p>
    <w:p w:rsidR="00165C3A" w:rsidRPr="00165C3A" w:rsidRDefault="00165C3A" w:rsidP="00165C3A">
      <w:pPr>
        <w:spacing w:after="0" w:line="360" w:lineRule="auto"/>
        <w:ind w:firstLine="709"/>
        <w:jc w:val="both"/>
        <w:rPr>
          <w:rFonts w:ascii="Century" w:eastAsia="Calibri" w:hAnsi="Century" w:cs="Calibri"/>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i/>
          <w:sz w:val="24"/>
          <w:szCs w:val="24"/>
          <w:lang w:val="es-ES" w:eastAsia="es-ES"/>
        </w:rPr>
      </w:pPr>
      <w:r w:rsidRPr="00165C3A">
        <w:rPr>
          <w:rFonts w:ascii="Century" w:eastAsia="Calibri" w:hAnsi="Century" w:cs="Times New Roman"/>
          <w:sz w:val="24"/>
          <w:szCs w:val="24"/>
          <w:lang w:val="es-ES" w:eastAsia="es-ES"/>
        </w:rPr>
        <w:t>Dichas manifestaciones se traducen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165C3A" w:rsidRPr="00165C3A" w:rsidRDefault="00165C3A" w:rsidP="00165C3A">
      <w:pPr>
        <w:spacing w:after="0" w:line="360" w:lineRule="auto"/>
        <w:ind w:firstLine="709"/>
        <w:jc w:val="both"/>
        <w:rPr>
          <w:rFonts w:ascii="Arial Narrow" w:eastAsia="Calibri" w:hAnsi="Arial Narrow" w:cs="Times New Roman"/>
          <w:color w:val="404040"/>
          <w:sz w:val="27"/>
          <w:szCs w:val="27"/>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 xml:space="preserve">Ante la improcedencia de las referidas excepciones y defensas y estimando que no se actualiza ninguna causal de improcedencia de las previstas en el citado artículo 261, se procede al estudio de los conceptos de impugnación. ---------------------------------------------------------------------------------------- </w:t>
      </w:r>
    </w:p>
    <w:p w:rsidR="00165C3A" w:rsidRPr="00165C3A" w:rsidRDefault="00165C3A" w:rsidP="00165C3A">
      <w:pPr>
        <w:spacing w:after="0" w:line="360" w:lineRule="auto"/>
        <w:ind w:firstLine="708"/>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8"/>
        <w:jc w:val="both"/>
        <w:rPr>
          <w:rFonts w:ascii="Century" w:eastAsia="Calibri" w:hAnsi="Century" w:cs="Calibri"/>
          <w:sz w:val="24"/>
          <w:szCs w:val="24"/>
          <w:lang w:val="es-ES" w:eastAsia="es-ES"/>
        </w:rPr>
      </w:pPr>
      <w:r w:rsidRPr="00165C3A">
        <w:rPr>
          <w:rFonts w:ascii="Century" w:eastAsia="Calibri" w:hAnsi="Century" w:cs="Times New Roman"/>
          <w:b/>
          <w:sz w:val="24"/>
          <w:szCs w:val="24"/>
          <w:lang w:val="es-ES" w:eastAsia="es-ES"/>
        </w:rPr>
        <w:t>QUINTO</w:t>
      </w:r>
      <w:r w:rsidRPr="00165C3A">
        <w:rPr>
          <w:rFonts w:ascii="Century" w:eastAsia="Calibri" w:hAnsi="Century" w:cs="Calibri"/>
          <w:b/>
          <w:bCs/>
          <w:iCs/>
          <w:sz w:val="24"/>
          <w:szCs w:val="24"/>
          <w:lang w:val="es-ES" w:eastAsia="es-ES"/>
        </w:rPr>
        <w:t>.</w:t>
      </w:r>
      <w:r w:rsidRPr="00165C3A">
        <w:rPr>
          <w:rFonts w:ascii="Century" w:eastAsia="Calibri" w:hAnsi="Century" w:cs="Times New Roman"/>
          <w:sz w:val="24"/>
          <w:szCs w:val="24"/>
          <w:lang w:val="es-ES" w:eastAsia="es-ES"/>
        </w:rPr>
        <w:t xml:space="preserve"> </w:t>
      </w:r>
      <w:r w:rsidRPr="00165C3A">
        <w:rPr>
          <w:rFonts w:ascii="Century" w:eastAsia="Calibri" w:hAnsi="Century" w:cs="Calibri"/>
          <w:bCs/>
          <w:iCs/>
          <w:sz w:val="24"/>
          <w:szCs w:val="24"/>
          <w:lang w:val="es-ES" w:eastAsia="es-ES"/>
        </w:rPr>
        <w:t>En</w:t>
      </w:r>
      <w:r w:rsidRPr="00165C3A">
        <w:rPr>
          <w:rFonts w:ascii="Century" w:eastAsia="Calibri" w:hAnsi="Century" w:cs="Calibri"/>
          <w:sz w:val="24"/>
          <w:szCs w:val="24"/>
          <w:lang w:val="es-ES" w:eastAsia="es-ES"/>
        </w:rPr>
        <w:t xml:space="preserve"> cumplimiento a lo establecido en la fracción I del artículo 299 del Código de Procedimiento y Justicia Administrativa para el Estado y los Municipios de Guanajuato, </w:t>
      </w:r>
      <w:r w:rsidRPr="00165C3A">
        <w:rPr>
          <w:rFonts w:ascii="Century" w:eastAsia="Calibri" w:hAnsi="Century" w:cs="Calibri"/>
          <w:bCs/>
          <w:iCs/>
          <w:sz w:val="24"/>
          <w:szCs w:val="24"/>
          <w:lang w:val="es-ES" w:eastAsia="es-ES"/>
        </w:rPr>
        <w:t xml:space="preserve">este Juzgado </w:t>
      </w:r>
      <w:r w:rsidRPr="00165C3A">
        <w:rPr>
          <w:rFonts w:ascii="Century" w:eastAsia="Calibri" w:hAnsi="Century" w:cs="Calibri"/>
          <w:sz w:val="24"/>
          <w:szCs w:val="24"/>
          <w:lang w:val="es-ES" w:eastAsia="es-ES"/>
        </w:rPr>
        <w:t>procede a fijar clara y precisamente los puntos controvertidos en el presente proceso administrativo.-</w:t>
      </w:r>
    </w:p>
    <w:p w:rsidR="00165C3A" w:rsidRPr="00165C3A" w:rsidRDefault="00165C3A" w:rsidP="00165C3A">
      <w:pPr>
        <w:spacing w:after="0" w:line="360" w:lineRule="auto"/>
        <w:ind w:firstLine="708"/>
        <w:jc w:val="both"/>
        <w:rPr>
          <w:rFonts w:ascii="Century" w:eastAsia="Calibri" w:hAnsi="Century" w:cs="Calibri"/>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 xml:space="preserve">De lo expuesto por el actor en su </w:t>
      </w:r>
      <w:r w:rsidRPr="00165C3A">
        <w:rPr>
          <w:rFonts w:ascii="Century" w:eastAsia="Calibri" w:hAnsi="Century" w:cs="Times New Roman"/>
          <w:bCs/>
          <w:iCs/>
          <w:sz w:val="24"/>
          <w:szCs w:val="24"/>
          <w:lang w:val="es-ES" w:eastAsia="es-ES"/>
        </w:rPr>
        <w:t>escrito</w:t>
      </w:r>
      <w:r w:rsidRPr="00165C3A">
        <w:rPr>
          <w:rFonts w:ascii="Century" w:eastAsia="Calibri" w:hAnsi="Century" w:cs="Times New Roman"/>
          <w:sz w:val="24"/>
          <w:szCs w:val="24"/>
          <w:lang w:val="es-ES" w:eastAsia="es-ES"/>
        </w:rPr>
        <w:t xml:space="preserve"> de demanda, así como de las constancias que integran la causa administrativa</w:t>
      </w:r>
      <w:r w:rsidRPr="00165C3A">
        <w:rPr>
          <w:rFonts w:ascii="Century" w:eastAsia="Calibri" w:hAnsi="Century" w:cs="Times New Roman"/>
          <w:bCs/>
          <w:iCs/>
          <w:sz w:val="24"/>
          <w:szCs w:val="24"/>
          <w:lang w:val="es-ES" w:eastAsia="es-ES"/>
        </w:rPr>
        <w:t xml:space="preserve"> que nos ocupa</w:t>
      </w:r>
      <w:r w:rsidRPr="00165C3A">
        <w:rPr>
          <w:rFonts w:ascii="Century" w:eastAsia="Calibri" w:hAnsi="Century" w:cs="Times New Roman"/>
          <w:sz w:val="24"/>
          <w:szCs w:val="24"/>
          <w:lang w:val="es-ES" w:eastAsia="es-ES"/>
        </w:rPr>
        <w:t xml:space="preserve">, se desprende que el actor tiene conocimiento de los documentos que contiene la notificación  del resultado de los avalúos, respecto a tres inmuebles de su propiedad, de cada </w:t>
      </w:r>
      <w:r w:rsidRPr="00165C3A">
        <w:rPr>
          <w:rFonts w:ascii="Century" w:eastAsia="Calibri" w:hAnsi="Century" w:cs="Times New Roman"/>
          <w:sz w:val="24"/>
          <w:szCs w:val="24"/>
          <w:lang w:val="es-ES" w:eastAsia="es-ES"/>
        </w:rPr>
        <w:lastRenderedPageBreak/>
        <w:t>una de las notificaciones, señala el actor, se desprende la existencia de un crédito fiscal a su cargo, por lo que acude a intentar la presente demanda.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 xml:space="preserve">Así las cosas, el actor impugna: la determinación de los siguientes créditos fiscales respecto de las cuentas prediales números: </w:t>
      </w:r>
      <w:r w:rsidRPr="00165C3A">
        <w:rPr>
          <w:rFonts w:ascii="Century" w:eastAsia="Calibri" w:hAnsi="Century" w:cs="Times New Roman"/>
          <w:b/>
          <w:sz w:val="24"/>
          <w:szCs w:val="24"/>
          <w:lang w:val="es-ES" w:eastAsia="es-ES"/>
        </w:rPr>
        <w:t>02V022178002</w:t>
      </w:r>
      <w:r w:rsidRPr="00165C3A">
        <w:rPr>
          <w:rFonts w:ascii="Century" w:eastAsia="Calibri" w:hAnsi="Century" w:cs="Times New Roman"/>
          <w:sz w:val="24"/>
          <w:szCs w:val="24"/>
          <w:lang w:val="es-ES" w:eastAsia="es-ES"/>
        </w:rPr>
        <w:t xml:space="preserve"> (cero dos letra V dos dos uno siete ocho cero cero dos), por la cantidad de $23,012.77 (veinte tres mil doce pesos 77/100 M/N); </w:t>
      </w:r>
      <w:r w:rsidRPr="00165C3A">
        <w:rPr>
          <w:rFonts w:ascii="Century" w:eastAsia="Calibri" w:hAnsi="Century" w:cs="Times New Roman"/>
          <w:b/>
          <w:sz w:val="24"/>
          <w:szCs w:val="24"/>
          <w:lang w:val="es-ES" w:eastAsia="es-ES"/>
        </w:rPr>
        <w:t>02V022178003</w:t>
      </w:r>
      <w:r w:rsidRPr="00165C3A">
        <w:rPr>
          <w:rFonts w:ascii="Century" w:eastAsia="Calibri" w:hAnsi="Century" w:cs="Times New Roman"/>
          <w:sz w:val="24"/>
          <w:szCs w:val="24"/>
          <w:lang w:val="es-ES" w:eastAsia="es-ES"/>
        </w:rPr>
        <w:t xml:space="preserve"> (cero dos letra V cero dos dos uno siete ocho cero cero tres), por la cantidad de $21,549.63 (veintiún mil quinientos cuarenta y nueve pesos 63/100 M/N); y </w:t>
      </w:r>
      <w:r w:rsidRPr="00165C3A">
        <w:rPr>
          <w:rFonts w:ascii="Century" w:eastAsia="Calibri" w:hAnsi="Century" w:cs="Times New Roman"/>
          <w:b/>
          <w:sz w:val="24"/>
          <w:szCs w:val="24"/>
          <w:lang w:val="es-ES" w:eastAsia="es-ES"/>
        </w:rPr>
        <w:t>02V022178004</w:t>
      </w:r>
      <w:r w:rsidRPr="00165C3A">
        <w:rPr>
          <w:rFonts w:ascii="Century" w:eastAsia="Calibri" w:hAnsi="Century" w:cs="Times New Roman"/>
          <w:sz w:val="24"/>
          <w:szCs w:val="24"/>
          <w:lang w:val="es-ES" w:eastAsia="es-ES"/>
        </w:rPr>
        <w:t xml:space="preserve"> (cero dos letra V cero dos dos uno siete ocho cero cero cuatro) por $21,549.63 (veintiún mil quinientos cuarenta y nueve pesos 63/100 M/N).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Para acreditar los actos impugnados el actor ajunta a su escrito de demanda los siguientes documentos: --------------------------------------------------------</w:t>
      </w:r>
    </w:p>
    <w:p w:rsidR="00165C3A" w:rsidRPr="00165C3A" w:rsidRDefault="00165C3A" w:rsidP="00165C3A">
      <w:pPr>
        <w:numPr>
          <w:ilvl w:val="0"/>
          <w:numId w:val="1"/>
        </w:numPr>
        <w:spacing w:after="0" w:line="360" w:lineRule="auto"/>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Respecto al predio con cuenta predial número O2V022178002, (cero dos Letra V cero dos dos uno siete ocho cero cero dos), adjunta avalúo folio 337402 (tres tres siete cuatro cero dos) de fecha 26 veintiséis de mayo de 2015 dos mil quince y notificación de fecha 28 veintiocho de mayo del año 2015 dos mil quince, folio 1132271 (uno uno tres dos dos siete uno). -------------------------------</w:t>
      </w:r>
    </w:p>
    <w:p w:rsidR="00165C3A" w:rsidRPr="00165C3A" w:rsidRDefault="00165C3A" w:rsidP="00165C3A">
      <w:pPr>
        <w:numPr>
          <w:ilvl w:val="0"/>
          <w:numId w:val="1"/>
        </w:numPr>
        <w:spacing w:after="0" w:line="360" w:lineRule="auto"/>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De la cuenta predial número 02V022178003 (cero dos letra V cero dos dos uno siete ocho cero cero tres), adjunta avalúo folio 337403 (tres tres siete cuatro cero tres), de fecha 26 veintiséis de mayo del año 2015 dos mil quince, y notificación folio 1132267 (uno uno tres dos dos seis siete) de fecha 28 veintiocho de mayo del año 2015 dos mil quince. -------------------------------------------------------------</w:t>
      </w:r>
    </w:p>
    <w:p w:rsidR="00165C3A" w:rsidRPr="00165C3A" w:rsidRDefault="00165C3A" w:rsidP="00165C3A">
      <w:pPr>
        <w:numPr>
          <w:ilvl w:val="0"/>
          <w:numId w:val="1"/>
        </w:numPr>
        <w:spacing w:after="0" w:line="360" w:lineRule="auto"/>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De la cuenta predial número 02V022178004 (cero dos letra V cero dos dos uno siete ocho cero cero cuatro), adjunta avalúo folio 337404 (tres tres siete cuatro cero cuatros), de fecha 26 veintiséis de mayo del año 2015 y notificación folio 1132262 (uno uno tres dos dos seis dos) de fecha 28 veintiocho de mayo del año 2015 dos mil quince.--------------------------------------------------------------------------</w:t>
      </w:r>
    </w:p>
    <w:p w:rsidR="00165C3A" w:rsidRPr="00165C3A" w:rsidRDefault="00165C3A" w:rsidP="00165C3A">
      <w:pPr>
        <w:spacing w:after="0" w:line="360" w:lineRule="auto"/>
        <w:ind w:left="142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8"/>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No obstante que dichos documentos constituyen el avalúo y la notificación de los resultados del mismo, respecto a la notificación de cada uno de los avalúos se desprende la siguiente información: ---------------------------------</w:t>
      </w:r>
    </w:p>
    <w:p w:rsidR="00165C3A" w:rsidRPr="00165C3A" w:rsidRDefault="00165C3A" w:rsidP="00165C3A">
      <w:pPr>
        <w:spacing w:after="0" w:line="360" w:lineRule="auto"/>
        <w:jc w:val="both"/>
        <w:rPr>
          <w:rFonts w:ascii="Century" w:eastAsia="Calibri" w:hAnsi="Century" w:cs="Times New Roman"/>
          <w:sz w:val="24"/>
          <w:szCs w:val="24"/>
          <w:lang w:val="es-ES" w:eastAsia="es-ES"/>
        </w:rPr>
      </w:pPr>
    </w:p>
    <w:p w:rsidR="00165C3A" w:rsidRPr="00165C3A" w:rsidRDefault="00165C3A" w:rsidP="00165C3A">
      <w:pPr>
        <w:numPr>
          <w:ilvl w:val="0"/>
          <w:numId w:val="1"/>
        </w:numPr>
        <w:spacing w:after="0" w:line="360" w:lineRule="auto"/>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Cuenta predial O2V022178002, (cero dos letra V cero dos dos uno siete ocho cero cero dos).</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NUEVO VALOR FISCAL:           $799,357.38</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CUOTA ANUAL SIG. AÑO:         $1,870.49</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CUOTA BIMES SIG. AÑO:           $311.74</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PERIODO DE PAGO:                    1993/05-2015/06</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TASA:                                              .2340</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 xml:space="preserve">                                                                TOTAL A PAGAR: $23,012.77</w:t>
      </w:r>
    </w:p>
    <w:p w:rsidR="00165C3A" w:rsidRPr="00165C3A" w:rsidRDefault="00165C3A" w:rsidP="00165C3A">
      <w:pPr>
        <w:spacing w:after="0" w:line="360" w:lineRule="auto"/>
        <w:ind w:left="1429"/>
        <w:jc w:val="both"/>
        <w:rPr>
          <w:rFonts w:ascii="Century" w:eastAsia="Calibri" w:hAnsi="Century" w:cs="Times New Roman"/>
          <w:sz w:val="24"/>
          <w:szCs w:val="24"/>
          <w:lang w:val="es-ES" w:eastAsia="es-ES"/>
        </w:rPr>
      </w:pPr>
    </w:p>
    <w:p w:rsidR="00165C3A" w:rsidRPr="00165C3A" w:rsidRDefault="00165C3A" w:rsidP="00165C3A">
      <w:pPr>
        <w:numPr>
          <w:ilvl w:val="0"/>
          <w:numId w:val="1"/>
        </w:numPr>
        <w:spacing w:after="0" w:line="360" w:lineRule="auto"/>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De la notificación correspondiente a la cuenta predial número 02V022178003 (cero dos Letra V cero dos se desprende lo siguiente:</w:t>
      </w:r>
    </w:p>
    <w:p w:rsidR="00165C3A" w:rsidRPr="00165C3A" w:rsidRDefault="00165C3A" w:rsidP="00165C3A">
      <w:pPr>
        <w:numPr>
          <w:ilvl w:val="0"/>
          <w:numId w:val="1"/>
        </w:numPr>
        <w:spacing w:after="0" w:line="360" w:lineRule="auto"/>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NUEVO VALOR FISCAL:           $799,357.38</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CUOTA ANUAL SIG. AÑO:         $1,870.49</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CUOTA BIMES SIG. AÑO:           $311.74</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PERIODO DE PAGO:                    1993/05-2015/06</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TASA:                                              .2340</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 xml:space="preserve">                                                                TOTAL A PAGAR: $21,549.63</w:t>
      </w:r>
    </w:p>
    <w:p w:rsidR="00165C3A" w:rsidRPr="00165C3A" w:rsidRDefault="00165C3A" w:rsidP="00165C3A">
      <w:pPr>
        <w:spacing w:after="0" w:line="360" w:lineRule="auto"/>
        <w:ind w:left="1429"/>
        <w:jc w:val="both"/>
        <w:rPr>
          <w:rFonts w:ascii="Century" w:eastAsia="Calibri" w:hAnsi="Century" w:cs="Times New Roman"/>
          <w:sz w:val="24"/>
          <w:szCs w:val="24"/>
          <w:lang w:val="es-ES" w:eastAsia="es-ES"/>
        </w:rPr>
      </w:pPr>
    </w:p>
    <w:p w:rsidR="00165C3A" w:rsidRPr="00165C3A" w:rsidRDefault="00165C3A" w:rsidP="00165C3A">
      <w:pPr>
        <w:numPr>
          <w:ilvl w:val="0"/>
          <w:numId w:val="1"/>
        </w:numPr>
        <w:spacing w:after="0" w:line="360" w:lineRule="auto"/>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Notificación de la cuenta predial número 02V022178004 (cero dos letra V cero dos dos uno siete ocho cero cero cuatro):</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NUEVO VALOR FISCAL:           $799,357.38</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CUOTA ANUAL SIG. AÑO:         $1,870.49</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CUOTA BIMES SIG. AÑO:           $311.74</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PERIODO DE PAGO:                    1993/05-2015/06</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TASA:                                              .2340</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r w:rsidRPr="00165C3A">
        <w:rPr>
          <w:rFonts w:ascii="Century" w:eastAsia="Calibri" w:hAnsi="Century" w:cs="Times New Roman"/>
          <w:sz w:val="20"/>
          <w:szCs w:val="20"/>
          <w:lang w:val="es-ES" w:eastAsia="es-ES"/>
        </w:rPr>
        <w:t xml:space="preserve">                                                                TOTAL A PAGAR: $21,549</w:t>
      </w:r>
    </w:p>
    <w:p w:rsidR="00165C3A" w:rsidRPr="00165C3A" w:rsidRDefault="00165C3A" w:rsidP="00165C3A">
      <w:pPr>
        <w:spacing w:after="0" w:line="360" w:lineRule="auto"/>
        <w:ind w:left="1429"/>
        <w:jc w:val="both"/>
        <w:rPr>
          <w:rFonts w:ascii="Century" w:eastAsia="Calibri" w:hAnsi="Century" w:cs="Times New Roman"/>
          <w:sz w:val="20"/>
          <w:szCs w:val="20"/>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 xml:space="preserve">En virtud de lo anterior, y por el contenido de lo antes expuesto es que el actor acude a demandar, ya que considera que, no obstante que en dicho </w:t>
      </w:r>
      <w:r w:rsidRPr="00165C3A">
        <w:rPr>
          <w:rFonts w:ascii="Century" w:eastAsia="Calibri" w:hAnsi="Century" w:cs="Times New Roman"/>
          <w:sz w:val="24"/>
          <w:szCs w:val="24"/>
          <w:lang w:val="es-ES" w:eastAsia="es-ES"/>
        </w:rPr>
        <w:lastRenderedPageBreak/>
        <w:t>documento se contiene la determinación de una cantidad a pagar, previamente no se le ha notificado ninguna determinación de crédito o realizado requerimiento alguno.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Por su parte, la autoridad demandada, en su escrito de contestación a la demanda, en el apartado de hechos, señala de manera textual lo siguiente: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i/>
          <w:sz w:val="24"/>
          <w:szCs w:val="24"/>
          <w:lang w:val="es-ES" w:eastAsia="es-ES"/>
        </w:rPr>
      </w:pPr>
      <w:r w:rsidRPr="00165C3A">
        <w:rPr>
          <w:rFonts w:ascii="Century" w:eastAsia="Calibri" w:hAnsi="Century" w:cs="Times New Roman"/>
          <w:i/>
          <w:sz w:val="24"/>
          <w:szCs w:val="24"/>
          <w:lang w:val="es-ES" w:eastAsia="es-ES"/>
        </w:rPr>
        <w:t>“… cierto que esta autoridad demandada emitió las notificaciones que se realizan a la parte actora consistentes en las resoluciones determinantes relativas a los créditos fiscales números …”</w:t>
      </w:r>
      <w:r w:rsidRPr="00165C3A">
        <w:rPr>
          <w:rFonts w:ascii="Century" w:eastAsia="Calibri" w:hAnsi="Century" w:cs="Times New Roman"/>
          <w:sz w:val="24"/>
          <w:szCs w:val="24"/>
          <w:lang w:val="es-ES" w:eastAsia="es-ES"/>
        </w:rPr>
        <w:t xml:space="preserve">, en el mismo sentido en su escrito de ampliación a la demanda señala: </w:t>
      </w:r>
      <w:r w:rsidRPr="00165C3A">
        <w:rPr>
          <w:rFonts w:ascii="Century" w:eastAsia="Calibri" w:hAnsi="Century" w:cs="Times New Roman"/>
          <w:i/>
          <w:sz w:val="24"/>
          <w:szCs w:val="24"/>
          <w:lang w:val="es-ES" w:eastAsia="es-ES"/>
        </w:rPr>
        <w:t>“Por lo que debe considerarse la validez de los actos de autoridad emitidos por el suscrito y consistentes en las resoluciones determinantes relativas a los créditos fiscales números …”.</w:t>
      </w:r>
    </w:p>
    <w:p w:rsidR="00165C3A" w:rsidRPr="00165C3A" w:rsidRDefault="00165C3A" w:rsidP="00165C3A">
      <w:pPr>
        <w:spacing w:after="0" w:line="360" w:lineRule="auto"/>
        <w:ind w:firstLine="709"/>
        <w:jc w:val="both"/>
        <w:rPr>
          <w:rFonts w:ascii="Century" w:eastAsia="Calibri" w:hAnsi="Century" w:cs="Times New Roman"/>
          <w:i/>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De lo anterior, se deduce que efectivamente de los documentos de notificación correspondientes a las cuentas prediales con número O2V022178002,(cero dos letra V cero dos dos uno siete ocho cero cero dos), 02V022178003 (cero dos letra V cero dos dos uno siete ocho cero cero tres) y 02V022178004 (cero dos letra V cero dos dos uno siete ocho cero cero cuatro), y de acuerdo a lo manifestado por la autoridad demandada, se desprende un documento determinante de crédito.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8"/>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Así las cosas, la “litis” planteada se hace consistir en determinar la legalidad o ilegalidad de la determinación de los créditos fiscales contenidos en la notificación de fecha 28 de mayo del año 2015 dos mil quince, de las cuentas con número predial O2V022178002, (cero dos letra V cero dos dos uno siete ocho cero cero dos), 02V022178003 (cero dos letra V cero dos dos uno siete ocho cero cero tres) y 02V022178004 (cero dos letra V cero dos dos uno siete ocho cero cero cuatro). ----------------------------------------------------------------------------------</w:t>
      </w:r>
    </w:p>
    <w:p w:rsidR="00165C3A" w:rsidRPr="00165C3A" w:rsidRDefault="00165C3A" w:rsidP="00165C3A">
      <w:pPr>
        <w:spacing w:after="0" w:line="360" w:lineRule="auto"/>
        <w:ind w:firstLine="708"/>
        <w:jc w:val="both"/>
        <w:rPr>
          <w:rFonts w:ascii="Century" w:eastAsia="Calibri" w:hAnsi="Century" w:cs="Times New Roman"/>
          <w:sz w:val="24"/>
          <w:szCs w:val="24"/>
          <w:lang w:val="es-ES" w:eastAsia="es-ES"/>
        </w:rPr>
      </w:pPr>
    </w:p>
    <w:p w:rsidR="00165C3A" w:rsidRPr="00165C3A" w:rsidRDefault="00165C3A" w:rsidP="00165C3A">
      <w:pPr>
        <w:tabs>
          <w:tab w:val="left" w:pos="3975"/>
        </w:tabs>
        <w:spacing w:after="0" w:line="360" w:lineRule="auto"/>
        <w:ind w:firstLine="709"/>
        <w:jc w:val="both"/>
        <w:rPr>
          <w:rFonts w:ascii="Century" w:eastAsia="Calibri" w:hAnsi="Century" w:cs="Calibri"/>
          <w:sz w:val="24"/>
          <w:szCs w:val="24"/>
          <w:lang w:val="es-ES" w:eastAsia="es-ES"/>
        </w:rPr>
      </w:pPr>
      <w:r w:rsidRPr="00165C3A">
        <w:rPr>
          <w:rFonts w:ascii="Century" w:eastAsia="Calibri" w:hAnsi="Century" w:cs="Calibri"/>
          <w:b/>
          <w:sz w:val="24"/>
          <w:szCs w:val="24"/>
          <w:lang w:val="es-ES" w:eastAsia="es-ES"/>
        </w:rPr>
        <w:t>SEXTO.</w:t>
      </w:r>
      <w:r w:rsidRPr="00165C3A">
        <w:rPr>
          <w:rFonts w:ascii="Century" w:eastAsia="Calibri" w:hAnsi="Century" w:cs="Calibri"/>
          <w:sz w:val="24"/>
          <w:szCs w:val="24"/>
          <w:lang w:val="es-ES" w:eastAsia="es-ES"/>
        </w:rPr>
        <w:t xml:space="preserve"> Una vez señalada la litis de la presente causa, se procede al análisis de los conceptos de impugnación. -------------------------------------------------</w:t>
      </w:r>
    </w:p>
    <w:p w:rsidR="00165C3A" w:rsidRPr="00165C3A" w:rsidRDefault="00165C3A" w:rsidP="00165C3A">
      <w:pPr>
        <w:spacing w:after="0" w:line="360" w:lineRule="auto"/>
        <w:ind w:firstLine="708"/>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Resulta oportuno precisar que este Órgano Jurisdiccional tiene la obligación de realizar el análisis integral de la demanda, asumiendo como un todo el capítulo de prestaciones y de hechos; así como el estudio de los documentos exhibidos, a fin de advertir de manera plena lo realmente planteado, en relación a la causa de pedir.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En función a la causa de pedir quien resuelve está constreñido a trabar la litis realmente planteada por el actor.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240" w:lineRule="auto"/>
        <w:ind w:firstLine="709"/>
        <w:jc w:val="both"/>
        <w:rPr>
          <w:rFonts w:ascii="Century" w:eastAsia="Calibri" w:hAnsi="Century" w:cs="Times New Roman"/>
          <w:bCs/>
          <w:i/>
          <w:iCs/>
          <w:sz w:val="24"/>
          <w:szCs w:val="24"/>
          <w:lang w:val="es-ES" w:eastAsia="es-ES"/>
        </w:rPr>
      </w:pPr>
      <w:r w:rsidRPr="00165C3A">
        <w:rPr>
          <w:rFonts w:ascii="Century" w:eastAsia="Calibri" w:hAnsi="Century" w:cs="Times New Roman"/>
          <w:bCs/>
          <w:i/>
          <w:iCs/>
          <w:sz w:val="24"/>
          <w:szCs w:val="24"/>
          <w:lang w:val="es-ES" w:eastAsia="es-ES"/>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En virtud de lo anterior, quien resuelve aprecia que el actor manifiesta desconocer la o las resoluciones determinantes de los créditos fiscales, y que no le fueron notificadas, y señala que se trata de resoluciones ilegales que no constan por escrito, carecen de firma, y no están fundadas ni motivadas, por lo que los créditos fiscales impugnados deben anularse lisa y llanamente.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En tal sentido, y sólo con la finalidad de no trasgredir derecho humano alguno al demandante y no dejarlo en estado de indefensión, y considerado que la demandada señala que, a través del contenido de las notificaciones de fecha 28 veintiocho de mayo del año 2015 dos mil quince, se le determina y notifica al demandante un crédito fiscal, se procede al estudio de dicho acto como tal.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Ahora bien, de acuerdo a lo manifestado por el actor, se aprecia que efectivamente las notificaciones de fecha 28 veintiocho de mayo del año 2015 dos mil quince, en el apartado que se contiene la determinación del crédito fiscal por concepto de impuesto predial, carecen de una debida fundamentación y motivación.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Sirve de sustento al argumento vertido en supralíneas, la siguiente Jurisprudencia, sostenida por el Segundo Tribunal Colegiado del Sexto Circuito, visible en el Semanario Judicial de la Federación, Tomo IV, Segunda Parte-2, página 622, Tesis No. VI. 2º. J/31, que a la letra dice: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240" w:lineRule="auto"/>
        <w:ind w:firstLine="709"/>
        <w:jc w:val="both"/>
        <w:rPr>
          <w:rFonts w:ascii="Century" w:eastAsia="Calibri" w:hAnsi="Century" w:cs="Times New Roman"/>
          <w:bCs/>
          <w:i/>
          <w:iCs/>
          <w:sz w:val="24"/>
          <w:szCs w:val="24"/>
          <w:lang w:val="es-ES" w:eastAsia="es-ES"/>
        </w:rPr>
      </w:pPr>
      <w:r w:rsidRPr="00165C3A">
        <w:rPr>
          <w:rFonts w:ascii="Century" w:eastAsia="Calibri" w:hAnsi="Century" w:cs="Times New Roman"/>
          <w:bCs/>
          <w:i/>
          <w:iCs/>
          <w:sz w:val="24"/>
          <w:szCs w:val="24"/>
          <w:lang w:val="es-ES" w:eastAsia="es-ES"/>
        </w:rP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lastRenderedPageBreak/>
        <w:t>En efecto, de acuerdo con lo dispuesto por los artículos 23, 43, 44 y 45 de la Ley de Hacienda para los Municipios del Estado de Guanajuato, la determinación de un crédito fiscal debe constar por escrito, en el cual se le indique al particular que se ubicó en la situación jurídica originaria de dicho crédito, además se le debe dar a conocer  de manera detallada y precisa todos y cada uno de los aspectos que integran el crédito que se le pretende cobrar, para que conozca a ciencia cierta la cantidad líquida que debe pagar, que se especifiquen los años y el monto que se le cobra cobrando por cada uno de ellos, lo anterior, a efecto de que el contribuyente tenga pleno conocimiento del adeudo que tiene, en este caso, con el Municipio de León, Guanajuato.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Bajo tal contexto, una vez realizado un análisis a los documentos de notificación de fecha 28 veintiocho de febrero del año 2015 dos mil quince, en el que de manera específica la autoridad señala que contiene la determinación del crédito fiscal, se aprecia que no se le indica al justiciable, de manera clara y desglosada, el monto a pagar por cada año que se le determina, cuál era el valor fiscal que se tomó en consideración en cada una de ellos, cuál fue la tasa aplicada, en el mismo sentido;  se aprecia que en cada una de las notificaciones que contiene la determinación de crédito fiscal, le fueron cobrados recargos de predial, omitiendo la autoridad invocar los preceptos legales aplicables y exponer de manera detallada el procedimiento que siguió para determinar su cuantía, además de que no especifica las fuentes de las que obtuvo los datos necesarios para realizar tales operaciones, (en el caso en concreto, las diferentes leyes de ingresos, por cada ejercicio fiscal), tampoco señala la tasa aplicable en cada uno, ni a partir de cuando fueron calculados dichos conceptos y porqué se generaron, por último, respecto a los gastos de ejecución, la autoridad olvidó señalar el acto que generó dicho cobro, así como la fecha en que se llevó a cabo.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Lo anterior, se apoya en el siguiente criterio emitido por el entonces Tribunal de lo Contencioso Administrativo para el Estado y los Municipios de Guanajuato, por identidad sustancial.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240" w:lineRule="auto"/>
        <w:ind w:firstLine="709"/>
        <w:jc w:val="both"/>
        <w:rPr>
          <w:rFonts w:ascii="Century" w:eastAsia="Calibri" w:hAnsi="Century" w:cs="Times New Roman"/>
          <w:bCs/>
          <w:i/>
          <w:iCs/>
          <w:sz w:val="24"/>
          <w:szCs w:val="24"/>
          <w:lang w:eastAsia="es-ES"/>
        </w:rPr>
      </w:pPr>
      <w:r w:rsidRPr="00165C3A">
        <w:rPr>
          <w:rFonts w:ascii="Century" w:eastAsia="Calibri" w:hAnsi="Century" w:cs="Times New Roman"/>
          <w:bCs/>
          <w:i/>
          <w:iCs/>
          <w:sz w:val="24"/>
          <w:szCs w:val="24"/>
          <w:lang w:eastAsia="es-ES"/>
        </w:rPr>
        <w:t>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w:t>
      </w:r>
    </w:p>
    <w:p w:rsidR="00165C3A" w:rsidRPr="00165C3A" w:rsidRDefault="00165C3A" w:rsidP="00165C3A">
      <w:pPr>
        <w:spacing w:after="0" w:line="240" w:lineRule="auto"/>
        <w:ind w:firstLine="709"/>
        <w:jc w:val="both"/>
        <w:rPr>
          <w:rFonts w:ascii="Century" w:eastAsia="Calibri" w:hAnsi="Century" w:cs="Times New Roman"/>
          <w:bCs/>
          <w:i/>
          <w:iCs/>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 xml:space="preserve">Así como la siguiente jurisprudencia 2a./J. 52/2011 emitida por la Segunda Sala de la Suprema Corte de Justicia de la Nación publicada en el Semanario Judicial de la Federación y su Gaceta, XXXIII, Abril de 2011, página 553 que es del rubro y texto siguiente: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240" w:lineRule="auto"/>
        <w:ind w:firstLine="709"/>
        <w:jc w:val="both"/>
        <w:rPr>
          <w:rFonts w:ascii="Century" w:eastAsia="Calibri" w:hAnsi="Century" w:cs="Times New Roman"/>
          <w:bCs/>
          <w:i/>
          <w:iCs/>
          <w:sz w:val="24"/>
          <w:szCs w:val="24"/>
          <w:lang w:val="es-ES" w:eastAsia="es-ES"/>
        </w:rPr>
      </w:pPr>
      <w:r w:rsidRPr="00165C3A">
        <w:rPr>
          <w:rFonts w:ascii="Century" w:eastAsia="Calibri" w:hAnsi="Century" w:cs="Times New Roman"/>
          <w:bCs/>
          <w:i/>
          <w:iCs/>
          <w:sz w:val="24"/>
          <w:szCs w:val="24"/>
          <w:lang w:val="es-ES" w:eastAsia="es-ES"/>
        </w:rPr>
        <w:t xml:space="preserve">«RESOLUCIÓN DETERMINANTE DE UN CRÉDITO FISCAL. REQUISITOS QUE DEBE CONTENER PARA CUMPLIR CON LA GARANTÍA DE LEGALIDAD EN RELACIÓN CON LOS RECARGOS. Para que una liquidación, en el rubro de recargos, cumpla con la citada garantía, contenida en el artículo 16 de la Constitución Política de los Estados Unidos Mexicanos, basta con que la autoridad fiscal invoque los preceptos legales aplicables y exponga detalladamente el procedimiento que siguió para determinar su cuantía, lo que implica que, además de pormenorizar la forma en que llevó a cabo las operaciones aritméticas aplicables, detalle claramente las fuentes de las que obtuvo los datos necesarios para realizar tales operaciones, esto es, la fecha de los Diarios Oficiales de la Federación y la Ley de Ingresos de la Federación de los que se obtuvieron los índices nacionales de precios al consumidor, así como la tasa de recargos que hubiese aplicado, a fin de que el contribuyente pueda conocer el procedimiento aritmético que siguió la autoridad para obtener el monto de recargos, de modo que constate su exactitud o inexactitud, sin que sea necesario que la autoridad desarrolle las </w:t>
      </w:r>
      <w:r w:rsidRPr="00165C3A">
        <w:rPr>
          <w:rFonts w:ascii="Century" w:eastAsia="Calibri" w:hAnsi="Century" w:cs="Times New Roman"/>
          <w:bCs/>
          <w:i/>
          <w:iCs/>
          <w:sz w:val="24"/>
          <w:szCs w:val="24"/>
          <w:lang w:val="es-ES" w:eastAsia="es-ES"/>
        </w:rPr>
        <w:lastRenderedPageBreak/>
        <w:t>operaciones aritméticas correspondientes, pues éstas podrá elaborarlas el propio afectado en la medida en que dispondrá del procedimiento matemático seguido para su cálculo.»</w:t>
      </w:r>
    </w:p>
    <w:p w:rsidR="00165C3A" w:rsidRPr="00165C3A" w:rsidRDefault="00165C3A" w:rsidP="00165C3A">
      <w:pPr>
        <w:spacing w:after="0" w:line="240" w:lineRule="auto"/>
        <w:ind w:firstLine="709"/>
        <w:jc w:val="both"/>
        <w:rPr>
          <w:rFonts w:ascii="Century" w:eastAsia="Calibri" w:hAnsi="Century" w:cs="Times New Roman"/>
          <w:bCs/>
          <w:i/>
          <w:iCs/>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Por lo anterior, y considerando que la determinación del crédito fiscal, contenido en las notificaciones de fecha 28 veintiocho de mayo del año 2015 dos mil quince, relativo a los inmuebles con cuenta predial número O2V022178002, (cero dos letra V cero dos dos uno siete ocho cero cero dos), 02V022178003 (cero dos letra V cero dos dos uno siete ocho cero cero tres) y 02V022178004 (cero dos letra V cero dos dos uno siete ocho cero cero cuatro), no cumple con el requisito de validez establecido en el artículo 137 fracción VI del Código de Procedimiento y Justicia Administrativa para el Estado y los Municipios de Guanajuato, es procedente decretar la NULIDAD LISA Y LLANA de dichos documentos determinantes de crédito.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Cabe señalar, que la nulidad decretada fue sólo respecto a la parte de la constancia que contiene el documento determinante de crédito, quedando intocado el resto del contenido de las notificaciones de fecha 28 veintiocho de mayo del año 2015 dos mil quince, correspondiente a las cuentas predial números O2V022178002, (cero dos letra V cero dos dos uno siete ocho cero cero dos), 02V022178003 (cero dos letra V cero dos dos uno siete ocho cero cero tres) y 02V022178004 (cero dos letra V cero dos dos uno siete ocho cero cero cuatro). Ahora bien, considerando que la nulidad decretada, es por carecer de un requisito de carácter meramente formal, como lo es la falta de fundamentación y motivación, y además que el actor no formuló agravios, que permitan a quien resuelve analizar el fondo del asunto, la nulidad decretada no impide a la autoridad demandada, en uso de sus facultades discrecionales, emitir un nuevo documento determinante de crédito. --------------------------------------------------------</w:t>
      </w: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p>
    <w:p w:rsidR="00165C3A" w:rsidRPr="00165C3A" w:rsidRDefault="00165C3A" w:rsidP="00165C3A">
      <w:pPr>
        <w:spacing w:after="0" w:line="360" w:lineRule="auto"/>
        <w:ind w:firstLine="709"/>
        <w:jc w:val="both"/>
        <w:rPr>
          <w:rFonts w:ascii="Century" w:eastAsia="Calibri" w:hAnsi="Century" w:cs="Times New Roman"/>
          <w:sz w:val="24"/>
          <w:szCs w:val="24"/>
          <w:lang w:val="es-ES" w:eastAsia="es-ES"/>
        </w:rPr>
      </w:pPr>
      <w:r w:rsidRPr="00165C3A">
        <w:rPr>
          <w:rFonts w:ascii="Century" w:eastAsia="Calibri" w:hAnsi="Century" w:cs="Times New Roman"/>
          <w:sz w:val="24"/>
          <w:szCs w:val="24"/>
          <w:lang w:val="es-ES" w:eastAsia="es-ES"/>
        </w:rPr>
        <w:t>Por lo expuesto, y con fundamento además en lo dispuesto en los artículos 137 fracción VI, 143 primer párrafo, 249, 298, 299 y 300, fracción II, del Código de Procedimiento y Justicia Administrativa para el Estado y los Municipios de Guanajuato, es de resolverse y se -----------------------------------------</w:t>
      </w:r>
    </w:p>
    <w:p w:rsidR="00165C3A" w:rsidRDefault="00165C3A" w:rsidP="00165C3A">
      <w:pPr>
        <w:spacing w:after="0" w:line="240" w:lineRule="auto"/>
        <w:jc w:val="center"/>
        <w:rPr>
          <w:rFonts w:ascii="Century" w:eastAsia="Calibri" w:hAnsi="Century" w:cs="Calibri"/>
          <w:b/>
          <w:iCs/>
          <w:sz w:val="24"/>
          <w:szCs w:val="24"/>
          <w:lang w:eastAsia="es-ES"/>
        </w:rPr>
      </w:pPr>
    </w:p>
    <w:p w:rsidR="00165C3A" w:rsidRPr="00165C3A" w:rsidRDefault="00165C3A" w:rsidP="00165C3A">
      <w:pPr>
        <w:spacing w:after="0" w:line="240" w:lineRule="auto"/>
        <w:jc w:val="center"/>
        <w:rPr>
          <w:rFonts w:ascii="Century" w:eastAsia="Calibri" w:hAnsi="Century" w:cs="Calibri"/>
          <w:iCs/>
          <w:sz w:val="24"/>
          <w:szCs w:val="24"/>
          <w:lang w:eastAsia="es-ES"/>
        </w:rPr>
      </w:pPr>
      <w:r w:rsidRPr="00165C3A">
        <w:rPr>
          <w:rFonts w:ascii="Century" w:eastAsia="Calibri" w:hAnsi="Century" w:cs="Calibri"/>
          <w:b/>
          <w:iCs/>
          <w:sz w:val="24"/>
          <w:szCs w:val="24"/>
          <w:lang w:eastAsia="es-ES"/>
        </w:rPr>
        <w:t xml:space="preserve">R E S U E L V E </w:t>
      </w:r>
      <w:r w:rsidRPr="00165C3A">
        <w:rPr>
          <w:rFonts w:ascii="Century" w:eastAsia="Calibri" w:hAnsi="Century" w:cs="Calibri"/>
          <w:iCs/>
          <w:sz w:val="24"/>
          <w:szCs w:val="24"/>
          <w:lang w:eastAsia="es-ES"/>
        </w:rPr>
        <w:t>:</w:t>
      </w:r>
    </w:p>
    <w:p w:rsidR="00165C3A" w:rsidRPr="00165C3A" w:rsidRDefault="00165C3A" w:rsidP="00165C3A">
      <w:pPr>
        <w:spacing w:after="0" w:line="240" w:lineRule="auto"/>
        <w:jc w:val="center"/>
        <w:rPr>
          <w:rFonts w:ascii="Century" w:eastAsia="Calibri" w:hAnsi="Century" w:cs="Calibri"/>
          <w:iCs/>
          <w:sz w:val="24"/>
          <w:szCs w:val="24"/>
          <w:lang w:eastAsia="es-ES"/>
        </w:rPr>
      </w:pPr>
    </w:p>
    <w:p w:rsidR="00165C3A" w:rsidRPr="00165C3A" w:rsidRDefault="00165C3A" w:rsidP="00165C3A">
      <w:pPr>
        <w:spacing w:after="0" w:line="240" w:lineRule="auto"/>
        <w:jc w:val="both"/>
        <w:rPr>
          <w:rFonts w:ascii="Century" w:eastAsia="Calibri" w:hAnsi="Century" w:cs="Calibri"/>
          <w:sz w:val="24"/>
          <w:szCs w:val="24"/>
          <w:lang w:eastAsia="es-ES"/>
        </w:rPr>
      </w:pPr>
    </w:p>
    <w:p w:rsidR="00165C3A" w:rsidRPr="00165C3A" w:rsidRDefault="00165C3A" w:rsidP="00165C3A">
      <w:pPr>
        <w:spacing w:after="0" w:line="360" w:lineRule="auto"/>
        <w:ind w:firstLine="709"/>
        <w:jc w:val="both"/>
        <w:rPr>
          <w:rFonts w:ascii="Century" w:eastAsia="Calibri" w:hAnsi="Century" w:cs="Calibri"/>
          <w:sz w:val="24"/>
          <w:szCs w:val="24"/>
          <w:lang w:eastAsia="es-ES"/>
        </w:rPr>
      </w:pPr>
      <w:r w:rsidRPr="00165C3A">
        <w:rPr>
          <w:rFonts w:ascii="Century" w:eastAsia="Calibri" w:hAnsi="Century" w:cs="Calibri"/>
          <w:b/>
          <w:bCs/>
          <w:iCs/>
          <w:sz w:val="24"/>
          <w:szCs w:val="24"/>
          <w:lang w:eastAsia="es-ES"/>
        </w:rPr>
        <w:t>PRIMERO</w:t>
      </w:r>
      <w:r w:rsidRPr="00165C3A">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165C3A" w:rsidRPr="00165C3A" w:rsidRDefault="00165C3A" w:rsidP="00165C3A">
      <w:pPr>
        <w:spacing w:after="0" w:line="360" w:lineRule="auto"/>
        <w:ind w:firstLine="709"/>
        <w:jc w:val="both"/>
        <w:rPr>
          <w:rFonts w:ascii="Century" w:eastAsia="Calibri" w:hAnsi="Century" w:cs="Calibri"/>
          <w:sz w:val="24"/>
          <w:szCs w:val="24"/>
          <w:lang w:eastAsia="es-ES"/>
        </w:rPr>
      </w:pPr>
    </w:p>
    <w:p w:rsidR="00165C3A" w:rsidRPr="00165C3A" w:rsidRDefault="00165C3A" w:rsidP="00165C3A">
      <w:pPr>
        <w:spacing w:after="0" w:line="360" w:lineRule="auto"/>
        <w:ind w:firstLine="709"/>
        <w:jc w:val="both"/>
        <w:rPr>
          <w:rFonts w:ascii="Century" w:eastAsia="Calibri" w:hAnsi="Century" w:cs="Calibri"/>
          <w:sz w:val="24"/>
          <w:szCs w:val="24"/>
          <w:lang w:eastAsia="es-ES"/>
        </w:rPr>
      </w:pPr>
      <w:r w:rsidRPr="00165C3A">
        <w:rPr>
          <w:rFonts w:ascii="Century" w:eastAsia="Calibri" w:hAnsi="Century" w:cs="Calibri"/>
          <w:b/>
          <w:bCs/>
          <w:iCs/>
          <w:sz w:val="24"/>
          <w:szCs w:val="24"/>
          <w:lang w:eastAsia="es-ES"/>
        </w:rPr>
        <w:t xml:space="preserve">SEGUNDO. </w:t>
      </w:r>
      <w:r w:rsidRPr="00165C3A">
        <w:rPr>
          <w:rFonts w:ascii="Century" w:eastAsia="Calibri" w:hAnsi="Century" w:cs="Calibri"/>
          <w:sz w:val="24"/>
          <w:szCs w:val="24"/>
          <w:lang w:eastAsia="es-ES"/>
        </w:rPr>
        <w:t>Resultó procedente el proceso administrativo promovido por el justiciable, en contra de los actos impugnados. ---------------------------------</w:t>
      </w:r>
    </w:p>
    <w:p w:rsidR="00165C3A" w:rsidRPr="00165C3A" w:rsidRDefault="00165C3A" w:rsidP="00165C3A">
      <w:pPr>
        <w:spacing w:after="0" w:line="360" w:lineRule="auto"/>
        <w:ind w:firstLine="709"/>
        <w:jc w:val="both"/>
        <w:rPr>
          <w:rFonts w:ascii="Century" w:eastAsia="Calibri" w:hAnsi="Century" w:cs="Calibri"/>
          <w:sz w:val="24"/>
          <w:szCs w:val="24"/>
          <w:lang w:eastAsia="es-ES"/>
        </w:rPr>
      </w:pPr>
    </w:p>
    <w:p w:rsidR="00165C3A" w:rsidRPr="00165C3A" w:rsidRDefault="00165C3A" w:rsidP="00165C3A">
      <w:pPr>
        <w:spacing w:after="0" w:line="360" w:lineRule="auto"/>
        <w:ind w:firstLine="709"/>
        <w:jc w:val="both"/>
        <w:rPr>
          <w:rFonts w:ascii="Century" w:eastAsia="Calibri" w:hAnsi="Century" w:cs="Times New Roman"/>
          <w:bCs/>
          <w:sz w:val="24"/>
          <w:szCs w:val="24"/>
          <w:lang w:val="es-ES" w:eastAsia="es-ES"/>
        </w:rPr>
      </w:pPr>
      <w:r w:rsidRPr="00165C3A">
        <w:rPr>
          <w:rFonts w:ascii="Century" w:eastAsia="Calibri" w:hAnsi="Century" w:cs="Times New Roman"/>
          <w:b/>
          <w:bCs/>
          <w:iCs/>
          <w:sz w:val="24"/>
          <w:szCs w:val="24"/>
          <w:lang w:val="es-ES" w:eastAsia="es-ES"/>
        </w:rPr>
        <w:t xml:space="preserve">TERCERO. </w:t>
      </w:r>
      <w:r w:rsidRPr="00165C3A">
        <w:rPr>
          <w:rFonts w:ascii="Century" w:eastAsia="Calibri" w:hAnsi="Century" w:cs="Times New Roman"/>
          <w:sz w:val="24"/>
          <w:szCs w:val="24"/>
          <w:lang w:val="es-ES" w:eastAsia="es-ES"/>
        </w:rPr>
        <w:t xml:space="preserve">Se decreta la </w:t>
      </w:r>
      <w:r w:rsidRPr="00165C3A">
        <w:rPr>
          <w:rFonts w:ascii="Century" w:eastAsia="Calibri" w:hAnsi="Century" w:cs="Times New Roman"/>
          <w:b/>
          <w:sz w:val="24"/>
          <w:szCs w:val="24"/>
          <w:lang w:val="es-ES" w:eastAsia="es-ES"/>
        </w:rPr>
        <w:t xml:space="preserve">nulidad lisa y llana </w:t>
      </w:r>
      <w:r w:rsidRPr="00165C3A">
        <w:rPr>
          <w:rFonts w:ascii="Century" w:eastAsia="Calibri" w:hAnsi="Century" w:cs="Times New Roman"/>
          <w:sz w:val="24"/>
          <w:szCs w:val="24"/>
          <w:lang w:val="es-ES" w:eastAsia="es-ES"/>
        </w:rPr>
        <w:t xml:space="preserve">de </w:t>
      </w:r>
      <w:r w:rsidRPr="00165C3A">
        <w:rPr>
          <w:rFonts w:ascii="Century" w:eastAsia="Calibri" w:hAnsi="Century" w:cs="Times New Roman"/>
          <w:bCs/>
          <w:sz w:val="24"/>
          <w:szCs w:val="24"/>
          <w:lang w:val="es-ES" w:eastAsia="es-ES"/>
        </w:rPr>
        <w:t>la determinación del crédito fiscal contenido en las noti</w:t>
      </w:r>
      <w:r w:rsidRPr="00165C3A">
        <w:rPr>
          <w:rFonts w:ascii="Century" w:eastAsia="Calibri" w:hAnsi="Century" w:cs="Times New Roman"/>
          <w:sz w:val="24"/>
          <w:szCs w:val="24"/>
          <w:lang w:val="es-ES" w:eastAsia="es-ES"/>
        </w:rPr>
        <w:t>ficaciones de fecha 28 veintiocho de mayo del año 2015 dos mil quince, relativas a los predios con número de cuenta predial O2V022178002, (cero dos letra V cero dos dos uno siete ocho cero cero dos), 02V022178003 (cero dos letra V cero dos dos uno siete ocho cero cero tres) y 02V022178004 (cero dos letra V cero dos dos uno siete ocho cero cero cuatro), con base en lo expuesto en el Considerando Sexto de la presente sentencia. ---</w:t>
      </w:r>
    </w:p>
    <w:p w:rsidR="00165C3A" w:rsidRPr="00165C3A" w:rsidRDefault="00165C3A" w:rsidP="00165C3A">
      <w:pPr>
        <w:spacing w:after="0" w:line="360" w:lineRule="auto"/>
        <w:ind w:firstLine="709"/>
        <w:jc w:val="both"/>
        <w:rPr>
          <w:rFonts w:ascii="Century" w:eastAsia="Calibri" w:hAnsi="Century" w:cs="Times New Roman"/>
          <w:bCs/>
          <w:sz w:val="24"/>
          <w:szCs w:val="24"/>
          <w:lang w:val="es-ES" w:eastAsia="es-ES"/>
        </w:rPr>
      </w:pPr>
    </w:p>
    <w:p w:rsidR="00165C3A" w:rsidRPr="00165C3A" w:rsidRDefault="00165C3A" w:rsidP="00165C3A">
      <w:pPr>
        <w:spacing w:after="0" w:line="360" w:lineRule="auto"/>
        <w:ind w:firstLine="708"/>
        <w:jc w:val="both"/>
        <w:rPr>
          <w:rFonts w:ascii="Century" w:eastAsia="Calibri" w:hAnsi="Century" w:cs="Calibri"/>
          <w:sz w:val="24"/>
          <w:szCs w:val="24"/>
          <w:lang w:eastAsia="es-ES"/>
        </w:rPr>
      </w:pPr>
      <w:r w:rsidRPr="00165C3A">
        <w:rPr>
          <w:rFonts w:ascii="Century" w:eastAsia="Calibri" w:hAnsi="Century" w:cs="Calibri"/>
          <w:b/>
          <w:sz w:val="24"/>
          <w:szCs w:val="24"/>
          <w:lang w:eastAsia="es-ES"/>
        </w:rPr>
        <w:t>Notifíquese a las autoridades demandadas por oficio y a la parte actora personalmente.</w:t>
      </w:r>
      <w:r w:rsidRPr="00165C3A">
        <w:rPr>
          <w:rFonts w:ascii="Century" w:eastAsia="Calibri" w:hAnsi="Century" w:cs="Calibri"/>
          <w:sz w:val="24"/>
          <w:szCs w:val="24"/>
          <w:lang w:eastAsia="es-ES"/>
        </w:rPr>
        <w:t xml:space="preserve"> ------------------------------------------------------------------------------------ </w:t>
      </w:r>
    </w:p>
    <w:p w:rsidR="00165C3A" w:rsidRPr="00165C3A" w:rsidRDefault="00165C3A" w:rsidP="00165C3A">
      <w:pPr>
        <w:spacing w:after="0" w:line="360" w:lineRule="auto"/>
        <w:jc w:val="both"/>
        <w:rPr>
          <w:rFonts w:ascii="Century" w:eastAsia="Calibri" w:hAnsi="Century" w:cs="Calibri"/>
          <w:sz w:val="24"/>
          <w:szCs w:val="24"/>
          <w:lang w:eastAsia="es-ES"/>
        </w:rPr>
      </w:pPr>
    </w:p>
    <w:p w:rsidR="00165C3A" w:rsidRPr="00165C3A" w:rsidRDefault="00165C3A" w:rsidP="00165C3A">
      <w:pPr>
        <w:spacing w:after="0" w:line="360" w:lineRule="auto"/>
        <w:ind w:firstLine="708"/>
        <w:jc w:val="both"/>
        <w:rPr>
          <w:rFonts w:ascii="Century" w:eastAsia="Calibri" w:hAnsi="Century" w:cs="Calibri"/>
          <w:b/>
          <w:bCs/>
          <w:sz w:val="24"/>
          <w:szCs w:val="24"/>
          <w:lang w:eastAsia="es-ES"/>
        </w:rPr>
      </w:pPr>
      <w:r w:rsidRPr="00165C3A">
        <w:rPr>
          <w:rFonts w:ascii="Century" w:eastAsia="Calibri" w:hAnsi="Century" w:cs="Calibri"/>
          <w:sz w:val="24"/>
          <w:szCs w:val="24"/>
          <w:lang w:eastAsia="es-ES"/>
        </w:rPr>
        <w:t xml:space="preserve">En su oportunidad, archívese este expediente, como asunto totalmente concluido y dese de baja en el Libro de Registros que se lleva para tal efecto. - </w:t>
      </w:r>
    </w:p>
    <w:p w:rsidR="00165C3A" w:rsidRPr="00165C3A" w:rsidRDefault="00165C3A" w:rsidP="00165C3A">
      <w:pPr>
        <w:spacing w:after="0" w:line="360" w:lineRule="auto"/>
        <w:jc w:val="both"/>
        <w:rPr>
          <w:rFonts w:ascii="Century" w:eastAsia="Calibri" w:hAnsi="Century" w:cs="Calibri"/>
          <w:sz w:val="24"/>
          <w:szCs w:val="24"/>
          <w:lang w:eastAsia="es-ES"/>
        </w:rPr>
      </w:pPr>
    </w:p>
    <w:p w:rsidR="00165C3A" w:rsidRPr="00165C3A" w:rsidRDefault="00165C3A" w:rsidP="00165C3A">
      <w:pPr>
        <w:tabs>
          <w:tab w:val="left" w:pos="1252"/>
        </w:tabs>
        <w:spacing w:after="0" w:line="360" w:lineRule="auto"/>
        <w:jc w:val="both"/>
        <w:rPr>
          <w:rFonts w:ascii="Century" w:eastAsia="Calibri" w:hAnsi="Century" w:cs="Times New Roman"/>
          <w:sz w:val="24"/>
          <w:szCs w:val="24"/>
          <w:lang w:eastAsia="es-ES"/>
        </w:rPr>
      </w:pPr>
      <w:r w:rsidRPr="00165C3A">
        <w:rPr>
          <w:rFonts w:ascii="Century" w:eastAsia="Calibri" w:hAnsi="Century" w:cs="Calibri"/>
          <w:sz w:val="24"/>
          <w:szCs w:val="24"/>
          <w:lang w:val="es-ES" w:eastAsia="es-ES"/>
        </w:rPr>
        <w:t xml:space="preserve">Así lo resolvió y firma la Jueza del Juzgado Tercero Administrativo Municipal de León, Guanajuato, licenciada </w:t>
      </w:r>
      <w:r w:rsidRPr="00165C3A">
        <w:rPr>
          <w:rFonts w:ascii="Century" w:eastAsia="Calibri" w:hAnsi="Century" w:cs="Calibri"/>
          <w:b/>
          <w:bCs/>
          <w:sz w:val="24"/>
          <w:szCs w:val="24"/>
          <w:lang w:val="es-ES" w:eastAsia="es-ES"/>
        </w:rPr>
        <w:t>María Guadalupe Garza Lozornio</w:t>
      </w:r>
      <w:r w:rsidRPr="00165C3A">
        <w:rPr>
          <w:rFonts w:ascii="Century" w:eastAsia="Calibri" w:hAnsi="Century" w:cs="Calibri"/>
          <w:sz w:val="24"/>
          <w:szCs w:val="24"/>
          <w:lang w:val="es-ES" w:eastAsia="es-ES"/>
        </w:rPr>
        <w:t xml:space="preserve">, quien actúa asistida en forma legal con Secretario de Estudio y Cuenta, licenciado </w:t>
      </w:r>
      <w:r w:rsidRPr="00165C3A">
        <w:rPr>
          <w:rFonts w:ascii="Century" w:eastAsia="Calibri" w:hAnsi="Century" w:cs="Calibri"/>
          <w:b/>
          <w:bCs/>
          <w:sz w:val="24"/>
          <w:szCs w:val="24"/>
          <w:lang w:val="es-ES" w:eastAsia="es-ES"/>
        </w:rPr>
        <w:t>Christian Helmut Emmanuel Schonwald Escalante</w:t>
      </w:r>
      <w:r w:rsidRPr="00165C3A">
        <w:rPr>
          <w:rFonts w:ascii="Century" w:eastAsia="Calibri" w:hAnsi="Century" w:cs="Calibri"/>
          <w:bCs/>
          <w:sz w:val="24"/>
          <w:szCs w:val="24"/>
          <w:lang w:val="es-ES" w:eastAsia="es-ES"/>
        </w:rPr>
        <w:t>,</w:t>
      </w:r>
      <w:r w:rsidRPr="00165C3A">
        <w:rPr>
          <w:rFonts w:ascii="Century" w:eastAsia="Calibri" w:hAnsi="Century" w:cs="Calibri"/>
          <w:b/>
          <w:bCs/>
          <w:sz w:val="24"/>
          <w:szCs w:val="24"/>
          <w:lang w:val="es-ES" w:eastAsia="es-ES"/>
        </w:rPr>
        <w:t xml:space="preserve"> </w:t>
      </w:r>
      <w:r w:rsidRPr="00165C3A">
        <w:rPr>
          <w:rFonts w:ascii="Century" w:eastAsia="Calibri" w:hAnsi="Century" w:cs="Calibri"/>
          <w:sz w:val="24"/>
          <w:szCs w:val="24"/>
          <w:lang w:val="es-ES" w:eastAsia="es-ES"/>
        </w:rPr>
        <w:t>quien da fe. ------------------</w:t>
      </w:r>
    </w:p>
    <w:p w:rsidR="003E0C02" w:rsidRDefault="003E0C02"/>
    <w:sectPr w:rsidR="003E0C02" w:rsidSect="009808BC">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1985" w:left="2155" w:header="1758" w:footer="192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094" w:rsidRDefault="00304094">
      <w:pPr>
        <w:spacing w:after="0" w:line="240" w:lineRule="auto"/>
      </w:pPr>
      <w:r>
        <w:separator/>
      </w:r>
    </w:p>
  </w:endnote>
  <w:endnote w:type="continuationSeparator" w:id="0">
    <w:p w:rsidR="00304094" w:rsidRDefault="00304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6640D6" w:rsidRPr="009808BC" w:rsidRDefault="00165C3A">
            <w:pPr>
              <w:pStyle w:val="Piedepgina"/>
              <w:jc w:val="right"/>
              <w:rPr>
                <w:rFonts w:ascii="Century" w:hAnsi="Century"/>
                <w:sz w:val="14"/>
                <w:szCs w:val="14"/>
              </w:rPr>
            </w:pPr>
            <w:r w:rsidRPr="009808BC">
              <w:rPr>
                <w:rFonts w:ascii="Century" w:hAnsi="Century"/>
                <w:sz w:val="14"/>
                <w:szCs w:val="14"/>
              </w:rPr>
              <w:t xml:space="preserve">Página </w:t>
            </w:r>
            <w:r w:rsidRPr="009808BC">
              <w:rPr>
                <w:rFonts w:ascii="Century" w:hAnsi="Century"/>
                <w:b/>
                <w:bCs/>
                <w:sz w:val="14"/>
                <w:szCs w:val="14"/>
              </w:rPr>
              <w:fldChar w:fldCharType="begin"/>
            </w:r>
            <w:r w:rsidRPr="009808BC">
              <w:rPr>
                <w:rFonts w:ascii="Century" w:hAnsi="Century"/>
                <w:b/>
                <w:bCs/>
                <w:sz w:val="14"/>
                <w:szCs w:val="14"/>
              </w:rPr>
              <w:instrText>PAGE</w:instrText>
            </w:r>
            <w:r w:rsidRPr="009808BC">
              <w:rPr>
                <w:rFonts w:ascii="Century" w:hAnsi="Century"/>
                <w:b/>
                <w:bCs/>
                <w:sz w:val="14"/>
                <w:szCs w:val="14"/>
              </w:rPr>
              <w:fldChar w:fldCharType="separate"/>
            </w:r>
            <w:r>
              <w:rPr>
                <w:rFonts w:ascii="Century" w:hAnsi="Century"/>
                <w:b/>
                <w:bCs/>
                <w:noProof/>
                <w:sz w:val="14"/>
                <w:szCs w:val="14"/>
              </w:rPr>
              <w:t>16</w:t>
            </w:r>
            <w:r w:rsidRPr="009808BC">
              <w:rPr>
                <w:rFonts w:ascii="Century" w:hAnsi="Century"/>
                <w:b/>
                <w:bCs/>
                <w:sz w:val="14"/>
                <w:szCs w:val="14"/>
              </w:rPr>
              <w:fldChar w:fldCharType="end"/>
            </w:r>
            <w:r w:rsidRPr="009808BC">
              <w:rPr>
                <w:rFonts w:ascii="Century" w:hAnsi="Century"/>
                <w:sz w:val="14"/>
                <w:szCs w:val="14"/>
              </w:rPr>
              <w:t xml:space="preserve"> de </w:t>
            </w:r>
            <w:r w:rsidRPr="009808BC">
              <w:rPr>
                <w:rFonts w:ascii="Century" w:hAnsi="Century"/>
                <w:b/>
                <w:bCs/>
                <w:sz w:val="14"/>
                <w:szCs w:val="14"/>
              </w:rPr>
              <w:fldChar w:fldCharType="begin"/>
            </w:r>
            <w:r w:rsidRPr="009808BC">
              <w:rPr>
                <w:rFonts w:ascii="Century" w:hAnsi="Century"/>
                <w:b/>
                <w:bCs/>
                <w:sz w:val="14"/>
                <w:szCs w:val="14"/>
              </w:rPr>
              <w:instrText>NUMPAGES</w:instrText>
            </w:r>
            <w:r w:rsidRPr="009808BC">
              <w:rPr>
                <w:rFonts w:ascii="Century" w:hAnsi="Century"/>
                <w:b/>
                <w:bCs/>
                <w:sz w:val="14"/>
                <w:szCs w:val="14"/>
              </w:rPr>
              <w:fldChar w:fldCharType="separate"/>
            </w:r>
            <w:r>
              <w:rPr>
                <w:rFonts w:ascii="Century" w:hAnsi="Century"/>
                <w:b/>
                <w:bCs/>
                <w:noProof/>
                <w:sz w:val="14"/>
                <w:szCs w:val="14"/>
              </w:rPr>
              <w:t>16</w:t>
            </w:r>
            <w:r w:rsidRPr="009808BC">
              <w:rPr>
                <w:rFonts w:ascii="Century" w:hAnsi="Century"/>
                <w:b/>
                <w:bCs/>
                <w:sz w:val="14"/>
                <w:szCs w:val="14"/>
              </w:rPr>
              <w:fldChar w:fldCharType="end"/>
            </w:r>
          </w:p>
        </w:sdtContent>
      </w:sdt>
    </w:sdtContent>
  </w:sdt>
  <w:p w:rsidR="006640D6" w:rsidRDefault="0030409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6640D6" w:rsidRPr="009808BC" w:rsidRDefault="00165C3A" w:rsidP="00F10586">
            <w:pPr>
              <w:pStyle w:val="Piedepgina"/>
              <w:jc w:val="right"/>
              <w:rPr>
                <w:rFonts w:ascii="Century" w:hAnsi="Century"/>
                <w:sz w:val="14"/>
                <w:szCs w:val="14"/>
              </w:rPr>
            </w:pPr>
            <w:r w:rsidRPr="009808BC">
              <w:rPr>
                <w:rFonts w:ascii="Century" w:hAnsi="Century"/>
                <w:sz w:val="14"/>
                <w:szCs w:val="14"/>
              </w:rPr>
              <w:t xml:space="preserve">Página </w:t>
            </w:r>
            <w:r w:rsidRPr="009808BC">
              <w:rPr>
                <w:rFonts w:ascii="Century" w:hAnsi="Century"/>
                <w:bCs/>
                <w:sz w:val="14"/>
                <w:szCs w:val="14"/>
              </w:rPr>
              <w:fldChar w:fldCharType="begin"/>
            </w:r>
            <w:r w:rsidRPr="009808BC">
              <w:rPr>
                <w:rFonts w:ascii="Century" w:hAnsi="Century"/>
                <w:bCs/>
                <w:sz w:val="14"/>
                <w:szCs w:val="14"/>
              </w:rPr>
              <w:instrText>PAGE</w:instrText>
            </w:r>
            <w:r w:rsidRPr="009808BC">
              <w:rPr>
                <w:rFonts w:ascii="Century" w:hAnsi="Century"/>
                <w:bCs/>
                <w:sz w:val="14"/>
                <w:szCs w:val="14"/>
              </w:rPr>
              <w:fldChar w:fldCharType="separate"/>
            </w:r>
            <w:r w:rsidR="004E4C92">
              <w:rPr>
                <w:rFonts w:ascii="Century" w:hAnsi="Century"/>
                <w:bCs/>
                <w:noProof/>
                <w:sz w:val="14"/>
                <w:szCs w:val="14"/>
              </w:rPr>
              <w:t>1</w:t>
            </w:r>
            <w:r w:rsidRPr="009808BC">
              <w:rPr>
                <w:rFonts w:ascii="Century" w:hAnsi="Century"/>
                <w:bCs/>
                <w:sz w:val="14"/>
                <w:szCs w:val="14"/>
              </w:rPr>
              <w:fldChar w:fldCharType="end"/>
            </w:r>
            <w:r w:rsidRPr="009808BC">
              <w:rPr>
                <w:rFonts w:ascii="Century" w:hAnsi="Century"/>
                <w:sz w:val="14"/>
                <w:szCs w:val="14"/>
              </w:rPr>
              <w:t xml:space="preserve"> de </w:t>
            </w:r>
            <w:r w:rsidRPr="009808BC">
              <w:rPr>
                <w:rFonts w:ascii="Century" w:hAnsi="Century"/>
                <w:bCs/>
                <w:sz w:val="14"/>
                <w:szCs w:val="14"/>
              </w:rPr>
              <w:fldChar w:fldCharType="begin"/>
            </w:r>
            <w:r w:rsidRPr="009808BC">
              <w:rPr>
                <w:rFonts w:ascii="Century" w:hAnsi="Century"/>
                <w:bCs/>
                <w:sz w:val="14"/>
                <w:szCs w:val="14"/>
              </w:rPr>
              <w:instrText>NUMPAGES</w:instrText>
            </w:r>
            <w:r w:rsidRPr="009808BC">
              <w:rPr>
                <w:rFonts w:ascii="Century" w:hAnsi="Century"/>
                <w:bCs/>
                <w:sz w:val="14"/>
                <w:szCs w:val="14"/>
              </w:rPr>
              <w:fldChar w:fldCharType="separate"/>
            </w:r>
            <w:r w:rsidR="004E4C92">
              <w:rPr>
                <w:rFonts w:ascii="Century" w:hAnsi="Century"/>
                <w:bCs/>
                <w:noProof/>
                <w:sz w:val="14"/>
                <w:szCs w:val="14"/>
              </w:rPr>
              <w:t>13</w:t>
            </w:r>
            <w:r w:rsidRPr="009808BC">
              <w:rPr>
                <w:rFonts w:ascii="Century" w:hAnsi="Century"/>
                <w:bCs/>
                <w:sz w:val="14"/>
                <w:szCs w:val="14"/>
              </w:rPr>
              <w:fldChar w:fldCharType="end"/>
            </w:r>
          </w:p>
        </w:sdtContent>
      </w:sdt>
    </w:sdtContent>
  </w:sdt>
  <w:p w:rsidR="006640D6" w:rsidRPr="009808BC" w:rsidRDefault="00304094">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D6" w:rsidRDefault="00304094" w:rsidP="009808BC">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094" w:rsidRDefault="00304094">
      <w:pPr>
        <w:spacing w:after="0" w:line="240" w:lineRule="auto"/>
      </w:pPr>
      <w:r>
        <w:separator/>
      </w:r>
    </w:p>
  </w:footnote>
  <w:footnote w:type="continuationSeparator" w:id="0">
    <w:p w:rsidR="00304094" w:rsidRDefault="00304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D6" w:rsidRDefault="00304094">
    <w:pPr>
      <w:pStyle w:val="Encabezado"/>
      <w:framePr w:wrap="around" w:vAnchor="text" w:hAnchor="margin" w:xAlign="center" w:y="1"/>
      <w:rPr>
        <w:rStyle w:val="Nmerodepgina"/>
      </w:rPr>
    </w:pPr>
  </w:p>
  <w:p w:rsidR="006640D6" w:rsidRDefault="0030409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0D6" w:rsidRPr="00165C3A" w:rsidRDefault="00304094">
    <w:pPr>
      <w:pStyle w:val="Encabezado"/>
      <w:jc w:val="right"/>
      <w:rPr>
        <w:color w:val="7F7F7F"/>
      </w:rPr>
    </w:pPr>
  </w:p>
  <w:p w:rsidR="006640D6" w:rsidRPr="00165C3A" w:rsidRDefault="00304094">
    <w:pPr>
      <w:pStyle w:val="Encabezado"/>
      <w:jc w:val="right"/>
      <w:rPr>
        <w:color w:val="7F7F7F"/>
      </w:rPr>
    </w:pPr>
  </w:p>
  <w:p w:rsidR="006640D6" w:rsidRPr="00165C3A" w:rsidRDefault="00165C3A">
    <w:pPr>
      <w:pStyle w:val="Encabezado"/>
      <w:jc w:val="right"/>
      <w:rPr>
        <w:rFonts w:ascii="Century" w:hAnsi="Century"/>
        <w:color w:val="7F7F7F"/>
      </w:rPr>
    </w:pPr>
    <w:r w:rsidRPr="00165C3A">
      <w:rPr>
        <w:rFonts w:ascii="Century" w:hAnsi="Century"/>
        <w:color w:val="7F7F7F"/>
      </w:rPr>
      <w:t xml:space="preserve">Expediente número </w:t>
    </w:r>
    <w:sdt>
      <w:sdtPr>
        <w:rPr>
          <w:rFonts w:ascii="Century" w:hAnsi="Century"/>
          <w:color w:val="7F7F7F"/>
        </w:rPr>
        <w:alias w:val="Título"/>
        <w:tag w:val=""/>
        <w:id w:val="1773900777"/>
        <w:showingPlcHdr/>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olor w:val="auto"/>
        </w:rPr>
      </w:sdtEndPr>
      <w:sdtContent>
        <w:r w:rsidR="004E4C92">
          <w:rPr>
            <w:rFonts w:ascii="Century" w:hAnsi="Century"/>
            <w:color w:val="7F7F7F"/>
          </w:rPr>
          <w:t xml:space="preserve">     </w:t>
        </w:r>
      </w:sdtContent>
    </w:sdt>
  </w:p>
  <w:p w:rsidR="006640D6" w:rsidRPr="00165C3A" w:rsidRDefault="00304094"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6640D6" w:rsidRPr="00165C3A" w:rsidRDefault="00165C3A">
        <w:pPr>
          <w:pStyle w:val="Encabezado"/>
          <w:jc w:val="right"/>
          <w:rPr>
            <w:color w:val="7F7F7F"/>
          </w:rPr>
        </w:pPr>
        <w:r>
          <w:rPr>
            <w:color w:val="7F7F7F"/>
          </w:rPr>
          <w:t xml:space="preserve">     </w:t>
        </w:r>
      </w:p>
    </w:sdtContent>
  </w:sdt>
  <w:p w:rsidR="006640D6" w:rsidRPr="00165C3A" w:rsidRDefault="00304094">
    <w:pPr>
      <w:pStyle w:val="Encabezado"/>
      <w:jc w:val="right"/>
      <w:rPr>
        <w:rFonts w:ascii="Century" w:hAnsi="Century"/>
        <w:color w:val="7F7F7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C35DF"/>
    <w:multiLevelType w:val="hybridMultilevel"/>
    <w:tmpl w:val="CA70C7D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3A"/>
    <w:rsid w:val="00165C3A"/>
    <w:rsid w:val="00304094"/>
    <w:rsid w:val="003E0C02"/>
    <w:rsid w:val="004E4C92"/>
    <w:rsid w:val="009A4D6A"/>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50667-4BEB-4B5D-9590-3FB319E4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165C3A"/>
    <w:rPr>
      <w:rFonts w:cs="Times New Roman"/>
    </w:rPr>
  </w:style>
  <w:style w:type="paragraph" w:styleId="Encabezado">
    <w:name w:val="header"/>
    <w:basedOn w:val="Normal"/>
    <w:link w:val="EncabezadoCar"/>
    <w:uiPriority w:val="99"/>
    <w:rsid w:val="00165C3A"/>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165C3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65C3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65C3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4234</Words>
  <Characters>23291</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2018-05-29T16:28:00Z</dcterms:created>
  <dcterms:modified xsi:type="dcterms:W3CDTF">2018-05-29T16:28:00Z</dcterms:modified>
</cp:coreProperties>
</file>